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rPr>
          <w:rFonts w:hint="default" w:ascii="黑体" w:hAnsi="黑体" w:eastAsia="黑体" w:cs="黑体"/>
          <w:sz w:val="32"/>
          <w:szCs w:val="32"/>
          <w:lang w:val="en-US" w:eastAsia="zh-CN"/>
        </w:rPr>
      </w:pPr>
      <w:r>
        <w:rPr>
          <w:rFonts w:hint="eastAsia" w:ascii="黑体" w:hAnsi="黑体" w:eastAsia="黑体" w:cs="黑体"/>
          <w:sz w:val="32"/>
          <w:szCs w:val="32"/>
        </w:rPr>
        <w:t>附件</w:t>
      </w:r>
      <w:r>
        <w:rPr>
          <w:rFonts w:hint="eastAsia" w:ascii="黑体" w:hAnsi="黑体" w:eastAsia="黑体" w:cs="黑体"/>
          <w:sz w:val="32"/>
          <w:szCs w:val="32"/>
          <w:lang w:val="en-US" w:eastAsia="zh-CN"/>
        </w:rPr>
        <w:t>2</w:t>
      </w:r>
    </w:p>
    <w:p>
      <w:pPr>
        <w:keepNext w:val="0"/>
        <w:keepLines w:val="0"/>
        <w:pageBreakBefore w:val="0"/>
        <w:widowControl w:val="0"/>
        <w:kinsoku/>
        <w:wordWrap/>
        <w:overflowPunct/>
        <w:topLinePunct w:val="0"/>
        <w:autoSpaceDE/>
        <w:autoSpaceDN/>
        <w:bidi w:val="0"/>
        <w:adjustRightInd/>
        <w:snapToGrid/>
        <w:spacing w:line="600" w:lineRule="exact"/>
        <w:jc w:val="center"/>
        <w:textAlignment w:val="auto"/>
        <w:rPr>
          <w:rFonts w:hint="eastAsia" w:ascii="方正小标宋简体" w:hAnsi="方正小标宋简体" w:eastAsia="方正小标宋简体" w:cs="方正小标宋简体"/>
          <w:sz w:val="44"/>
          <w:szCs w:val="44"/>
        </w:rPr>
      </w:pPr>
      <w:r>
        <w:rPr>
          <w:rFonts w:hint="eastAsia" w:ascii="方正小标宋简体" w:hAnsi="方正小标宋简体" w:eastAsia="方正小标宋简体" w:cs="方正小标宋简体"/>
          <w:sz w:val="44"/>
          <w:szCs w:val="44"/>
        </w:rPr>
        <w:t>阳高县集体建设用地基准地价成果</w:t>
      </w:r>
    </w:p>
    <w:p>
      <w:pPr>
        <w:rPr>
          <w:rFonts w:hint="eastAsia" w:ascii="仿宋_GB2312" w:hAnsi="仿宋_GB2312" w:eastAsia="仿宋_GB2312" w:cs="仿宋_GB2312"/>
          <w:sz w:val="32"/>
          <w:szCs w:val="32"/>
        </w:rPr>
      </w:pPr>
    </w:p>
    <w:p>
      <w:pPr>
        <w:keepNext w:val="0"/>
        <w:keepLines w:val="0"/>
        <w:pageBreakBefore w:val="0"/>
        <w:widowControl w:val="0"/>
        <w:kinsoku/>
        <w:wordWrap/>
        <w:overflowPunct/>
        <w:topLinePunct w:val="0"/>
        <w:autoSpaceDE/>
        <w:autoSpaceDN/>
        <w:bidi w:val="0"/>
        <w:adjustRightInd/>
        <w:snapToGrid/>
        <w:ind w:firstLine="640" w:firstLineChars="200"/>
        <w:textAlignment w:val="auto"/>
        <w:rPr>
          <w:rFonts w:hint="eastAsia" w:ascii="黑体" w:hAnsi="黑体" w:eastAsia="黑体" w:cs="黑体"/>
          <w:sz w:val="32"/>
          <w:szCs w:val="32"/>
        </w:rPr>
      </w:pPr>
      <w:r>
        <w:rPr>
          <w:rFonts w:hint="eastAsia" w:ascii="黑体" w:hAnsi="黑体" w:eastAsia="黑体" w:cs="黑体"/>
          <w:sz w:val="32"/>
          <w:szCs w:val="32"/>
        </w:rPr>
        <w:t>一、集体建设用地基准地价内涵</w:t>
      </w:r>
    </w:p>
    <w:p>
      <w:pPr>
        <w:keepNext w:val="0"/>
        <w:keepLines w:val="0"/>
        <w:pageBreakBefore w:val="0"/>
        <w:widowControl w:val="0"/>
        <w:kinsoku/>
        <w:wordWrap/>
        <w:overflowPunct/>
        <w:topLinePunct w:val="0"/>
        <w:autoSpaceDE/>
        <w:autoSpaceDN/>
        <w:bidi w:val="0"/>
        <w:adjustRightInd/>
        <w:snapToGrid/>
        <w:ind w:firstLine="642" w:firstLineChars="200"/>
        <w:textAlignment w:val="auto"/>
        <w:rPr>
          <w:rFonts w:hint="eastAsia" w:ascii="楷体_GB2312" w:hAnsi="楷体_GB2312" w:eastAsia="楷体_GB2312" w:cs="楷体_GB2312"/>
          <w:b/>
          <w:bCs/>
          <w:sz w:val="32"/>
          <w:szCs w:val="32"/>
        </w:rPr>
      </w:pPr>
      <w:r>
        <w:rPr>
          <w:rFonts w:hint="eastAsia" w:ascii="楷体_GB2312" w:hAnsi="楷体_GB2312" w:eastAsia="楷体_GB2312" w:cs="楷体_GB2312"/>
          <w:b/>
          <w:bCs/>
          <w:sz w:val="32"/>
          <w:szCs w:val="32"/>
        </w:rPr>
        <w:t>（一）土地权利</w:t>
      </w:r>
      <w:bookmarkStart w:id="0" w:name="_GoBack"/>
      <w:bookmarkEnd w:id="0"/>
    </w:p>
    <w:p>
      <w:pPr>
        <w:keepNext w:val="0"/>
        <w:keepLines w:val="0"/>
        <w:pageBreakBefore w:val="0"/>
        <w:widowControl w:val="0"/>
        <w:kinsoku/>
        <w:wordWrap/>
        <w:overflowPunct/>
        <w:topLinePunct w:val="0"/>
        <w:autoSpaceDE/>
        <w:autoSpaceDN/>
        <w:bidi w:val="0"/>
        <w:adjustRightInd/>
        <w:snapToGrid/>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集体经营性建设用地基准地价为公开市场条件下的出让建设用地使用权市场价格；宅基地基准地价为合法合规的集体内部流转市场条件下的宅基地使用权流转价格。</w:t>
      </w:r>
    </w:p>
    <w:p>
      <w:pPr>
        <w:keepNext w:val="0"/>
        <w:keepLines w:val="0"/>
        <w:pageBreakBefore w:val="0"/>
        <w:widowControl w:val="0"/>
        <w:kinsoku/>
        <w:wordWrap/>
        <w:overflowPunct/>
        <w:topLinePunct w:val="0"/>
        <w:autoSpaceDE/>
        <w:autoSpaceDN/>
        <w:bidi w:val="0"/>
        <w:adjustRightInd/>
        <w:snapToGrid/>
        <w:ind w:firstLine="642" w:firstLineChars="200"/>
        <w:textAlignment w:val="auto"/>
        <w:rPr>
          <w:rFonts w:hint="eastAsia" w:ascii="楷体_GB2312" w:hAnsi="楷体_GB2312" w:eastAsia="楷体_GB2312" w:cs="楷体_GB2312"/>
          <w:b/>
          <w:bCs/>
          <w:sz w:val="32"/>
          <w:szCs w:val="32"/>
        </w:rPr>
      </w:pPr>
      <w:r>
        <w:rPr>
          <w:rFonts w:hint="eastAsia" w:ascii="楷体_GB2312" w:hAnsi="楷体_GB2312" w:eastAsia="楷体_GB2312" w:cs="楷体_GB2312"/>
          <w:b/>
          <w:bCs/>
          <w:sz w:val="32"/>
          <w:szCs w:val="32"/>
        </w:rPr>
        <w:t>（二）土地使用年期</w:t>
      </w:r>
    </w:p>
    <w:p>
      <w:pPr>
        <w:keepNext w:val="0"/>
        <w:keepLines w:val="0"/>
        <w:pageBreakBefore w:val="0"/>
        <w:widowControl w:val="0"/>
        <w:kinsoku/>
        <w:wordWrap/>
        <w:overflowPunct/>
        <w:topLinePunct w:val="0"/>
        <w:autoSpaceDE/>
        <w:autoSpaceDN/>
        <w:bidi w:val="0"/>
        <w:adjustRightInd/>
        <w:snapToGrid/>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集体商服用地40年，宅基地无限年期，集体工业用地50年。</w:t>
      </w:r>
    </w:p>
    <w:p>
      <w:pPr>
        <w:keepNext w:val="0"/>
        <w:keepLines w:val="0"/>
        <w:pageBreakBefore w:val="0"/>
        <w:widowControl w:val="0"/>
        <w:kinsoku/>
        <w:wordWrap/>
        <w:overflowPunct/>
        <w:topLinePunct w:val="0"/>
        <w:autoSpaceDE/>
        <w:autoSpaceDN/>
        <w:bidi w:val="0"/>
        <w:adjustRightInd/>
        <w:snapToGrid/>
        <w:ind w:firstLine="642" w:firstLineChars="200"/>
        <w:textAlignment w:val="auto"/>
        <w:rPr>
          <w:rFonts w:hint="eastAsia" w:ascii="楷体_GB2312" w:hAnsi="楷体_GB2312" w:eastAsia="楷体_GB2312" w:cs="楷体_GB2312"/>
          <w:b/>
          <w:bCs/>
          <w:sz w:val="32"/>
          <w:szCs w:val="32"/>
        </w:rPr>
      </w:pPr>
      <w:r>
        <w:rPr>
          <w:rFonts w:hint="eastAsia" w:ascii="楷体_GB2312" w:hAnsi="楷体_GB2312" w:eastAsia="楷体_GB2312" w:cs="楷体_GB2312"/>
          <w:b/>
          <w:bCs/>
          <w:sz w:val="32"/>
          <w:szCs w:val="32"/>
        </w:rPr>
        <w:t>（三）开发程度</w:t>
      </w:r>
    </w:p>
    <w:p>
      <w:pPr>
        <w:keepNext w:val="0"/>
        <w:keepLines w:val="0"/>
        <w:pageBreakBefore w:val="0"/>
        <w:widowControl w:val="0"/>
        <w:kinsoku/>
        <w:wordWrap/>
        <w:overflowPunct/>
        <w:topLinePunct w:val="0"/>
        <w:autoSpaceDE/>
        <w:autoSpaceDN/>
        <w:bidi w:val="0"/>
        <w:adjustRightInd/>
        <w:snapToGrid/>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“四通一平”（宗地红线外供水、通电、通路、通讯，红线内场地平整）。</w:t>
      </w:r>
    </w:p>
    <w:p>
      <w:pPr>
        <w:keepNext w:val="0"/>
        <w:keepLines w:val="0"/>
        <w:pageBreakBefore w:val="0"/>
        <w:widowControl w:val="0"/>
        <w:kinsoku/>
        <w:wordWrap/>
        <w:overflowPunct/>
        <w:topLinePunct w:val="0"/>
        <w:autoSpaceDE/>
        <w:autoSpaceDN/>
        <w:bidi w:val="0"/>
        <w:adjustRightInd/>
        <w:snapToGrid/>
        <w:ind w:firstLine="642" w:firstLineChars="200"/>
        <w:textAlignment w:val="auto"/>
        <w:rPr>
          <w:rFonts w:hint="eastAsia" w:ascii="楷体_GB2312" w:hAnsi="楷体_GB2312" w:eastAsia="楷体_GB2312" w:cs="楷体_GB2312"/>
          <w:b/>
          <w:bCs/>
          <w:sz w:val="32"/>
          <w:szCs w:val="32"/>
          <w:lang w:eastAsia="zh-CN"/>
        </w:rPr>
      </w:pPr>
      <w:r>
        <w:rPr>
          <w:rFonts w:hint="eastAsia" w:ascii="楷体_GB2312" w:hAnsi="楷体_GB2312" w:eastAsia="楷体_GB2312" w:cs="楷体_GB2312"/>
          <w:b/>
          <w:bCs/>
          <w:sz w:val="32"/>
          <w:szCs w:val="32"/>
        </w:rPr>
        <w:t>（四）基准日为2023年1月1日</w:t>
      </w:r>
      <w:r>
        <w:rPr>
          <w:rFonts w:hint="eastAsia" w:ascii="楷体_GB2312" w:hAnsi="楷体_GB2312" w:eastAsia="楷体_GB2312" w:cs="楷体_GB2312"/>
          <w:b/>
          <w:bCs/>
          <w:sz w:val="32"/>
          <w:szCs w:val="32"/>
          <w:lang w:eastAsia="zh-CN"/>
        </w:rPr>
        <w:t>。</w:t>
      </w:r>
    </w:p>
    <w:p>
      <w:pPr>
        <w:keepNext w:val="0"/>
        <w:keepLines w:val="0"/>
        <w:pageBreakBefore w:val="0"/>
        <w:widowControl w:val="0"/>
        <w:kinsoku/>
        <w:wordWrap/>
        <w:overflowPunct/>
        <w:topLinePunct w:val="0"/>
        <w:autoSpaceDE/>
        <w:autoSpaceDN/>
        <w:bidi w:val="0"/>
        <w:adjustRightInd/>
        <w:snapToGrid/>
        <w:ind w:firstLine="642" w:firstLineChars="200"/>
        <w:textAlignment w:val="auto"/>
        <w:rPr>
          <w:rFonts w:hint="eastAsia" w:ascii="楷体_GB2312" w:hAnsi="楷体_GB2312" w:eastAsia="楷体_GB2312" w:cs="楷体_GB2312"/>
          <w:b/>
          <w:bCs/>
          <w:sz w:val="32"/>
          <w:szCs w:val="32"/>
        </w:rPr>
      </w:pPr>
      <w:r>
        <w:rPr>
          <w:rFonts w:hint="eastAsia" w:ascii="楷体_GB2312" w:hAnsi="楷体_GB2312" w:eastAsia="楷体_GB2312" w:cs="楷体_GB2312"/>
          <w:b/>
          <w:bCs/>
          <w:sz w:val="32"/>
          <w:szCs w:val="32"/>
        </w:rPr>
        <w:t>（五）设定容积率</w:t>
      </w:r>
    </w:p>
    <w:p>
      <w:pPr>
        <w:keepNext w:val="0"/>
        <w:keepLines w:val="0"/>
        <w:pageBreakBefore w:val="0"/>
        <w:widowControl w:val="0"/>
        <w:kinsoku/>
        <w:wordWrap/>
        <w:overflowPunct/>
        <w:topLinePunct w:val="0"/>
        <w:autoSpaceDE/>
        <w:autoSpaceDN/>
        <w:bidi w:val="0"/>
        <w:adjustRightInd/>
        <w:snapToGrid/>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商业用地1.2，宅基地0.8，工业用地1.0。</w:t>
      </w:r>
    </w:p>
    <w:p>
      <w:pPr>
        <w:keepNext w:val="0"/>
        <w:keepLines w:val="0"/>
        <w:pageBreakBefore w:val="0"/>
        <w:widowControl w:val="0"/>
        <w:kinsoku/>
        <w:wordWrap/>
        <w:overflowPunct/>
        <w:topLinePunct w:val="0"/>
        <w:autoSpaceDE/>
        <w:autoSpaceDN/>
        <w:bidi w:val="0"/>
        <w:adjustRightInd/>
        <w:snapToGrid/>
        <w:ind w:firstLine="640" w:firstLineChars="200"/>
        <w:textAlignment w:val="auto"/>
        <w:rPr>
          <w:rFonts w:hint="eastAsia" w:ascii="黑体" w:hAnsi="黑体" w:eastAsia="黑体" w:cs="黑体"/>
          <w:sz w:val="32"/>
          <w:szCs w:val="32"/>
        </w:rPr>
      </w:pPr>
      <w:r>
        <w:rPr>
          <w:rFonts w:hint="eastAsia" w:ascii="黑体" w:hAnsi="黑体" w:eastAsia="黑体" w:cs="黑体"/>
          <w:sz w:val="32"/>
          <w:szCs w:val="32"/>
        </w:rPr>
        <w:t>二、集体建设用地基准地价成果</w:t>
      </w:r>
    </w:p>
    <w:p>
      <w:pPr>
        <w:jc w:val="center"/>
        <w:rPr>
          <w:rFonts w:hint="eastAsia" w:ascii="仿宋_GB2312" w:hAnsi="仿宋_GB2312" w:eastAsia="仿宋_GB2312" w:cs="仿宋_GB2312"/>
          <w:sz w:val="32"/>
          <w:szCs w:val="32"/>
        </w:rPr>
      </w:pPr>
      <w:r>
        <w:rPr>
          <w:rFonts w:hint="eastAsia" w:ascii="仿宋_GB2312" w:hAnsi="仿宋_GB2312" w:eastAsia="仿宋_GB2312" w:cs="仿宋_GB2312"/>
          <w:sz w:val="32"/>
          <w:szCs w:val="32"/>
          <w:lang w:eastAsia="zh-CN"/>
        </w:rPr>
        <w:t>表</w:t>
      </w:r>
      <w:r>
        <w:rPr>
          <w:rFonts w:hint="eastAsia" w:ascii="仿宋_GB2312" w:hAnsi="仿宋_GB2312" w:eastAsia="仿宋_GB2312" w:cs="仿宋_GB2312"/>
          <w:sz w:val="32"/>
          <w:szCs w:val="32"/>
          <w:lang w:val="en-US" w:eastAsia="zh-CN"/>
        </w:rPr>
        <w:t>1</w:t>
      </w:r>
      <w:r>
        <w:rPr>
          <w:rFonts w:hint="eastAsia" w:ascii="仿宋_GB2312" w:hAnsi="仿宋_GB2312" w:eastAsia="仿宋_GB2312" w:cs="仿宋_GB2312"/>
          <w:sz w:val="32"/>
          <w:szCs w:val="32"/>
        </w:rPr>
        <w:t>阳高县集体商服用地基准地价区间表</w:t>
      </w:r>
    </w:p>
    <w:tbl>
      <w:tblPr>
        <w:tblStyle w:val="2"/>
        <w:tblW w:w="5000" w:type="pct"/>
        <w:tblInd w:w="0" w:type="dxa"/>
        <w:tblLayout w:type="autofit"/>
        <w:tblCellMar>
          <w:top w:w="0" w:type="dxa"/>
          <w:left w:w="108" w:type="dxa"/>
          <w:bottom w:w="0" w:type="dxa"/>
          <w:right w:w="108" w:type="dxa"/>
        </w:tblCellMar>
      </w:tblPr>
      <w:tblGrid>
        <w:gridCol w:w="709"/>
        <w:gridCol w:w="1127"/>
        <w:gridCol w:w="818"/>
        <w:gridCol w:w="1017"/>
        <w:gridCol w:w="1127"/>
        <w:gridCol w:w="818"/>
        <w:gridCol w:w="1127"/>
        <w:gridCol w:w="819"/>
        <w:gridCol w:w="960"/>
      </w:tblGrid>
      <w:tr>
        <w:tblPrEx>
          <w:tblCellMar>
            <w:top w:w="0" w:type="dxa"/>
            <w:left w:w="108" w:type="dxa"/>
            <w:bottom w:w="0" w:type="dxa"/>
            <w:right w:w="108" w:type="dxa"/>
          </w:tblCellMar>
        </w:tblPrEx>
        <w:trPr>
          <w:trHeight w:val="405" w:hRule="atLeast"/>
        </w:trPr>
        <w:tc>
          <w:tcPr>
            <w:tcW w:w="556" w:type="pct"/>
            <w:vMerge w:val="restart"/>
            <w:tcBorders>
              <w:top w:val="single" w:color="auto" w:sz="4" w:space="0"/>
              <w:left w:val="single" w:color="auto" w:sz="4" w:space="0"/>
              <w:bottom w:val="single" w:color="auto" w:sz="4" w:space="0"/>
              <w:right w:val="single" w:color="auto" w:sz="4" w:space="0"/>
            </w:tcBorders>
            <w:noWrap/>
            <w:vAlign w:val="center"/>
          </w:tcPr>
          <w:p>
            <w:pPr>
              <w:jc w:val="center"/>
            </w:pPr>
            <w:r>
              <w:t>级别</w:t>
            </w:r>
          </w:p>
        </w:tc>
        <w:tc>
          <w:tcPr>
            <w:tcW w:w="1667" w:type="pct"/>
            <w:gridSpan w:val="3"/>
            <w:tcBorders>
              <w:top w:val="single" w:color="auto" w:sz="4" w:space="0"/>
              <w:left w:val="nil"/>
              <w:bottom w:val="single" w:color="auto" w:sz="4" w:space="0"/>
              <w:right w:val="single" w:color="auto" w:sz="4" w:space="0"/>
            </w:tcBorders>
            <w:noWrap/>
            <w:vAlign w:val="center"/>
          </w:tcPr>
          <w:p>
            <w:pPr>
              <w:jc w:val="center"/>
            </w:pPr>
            <w:r>
              <w:t>上限</w:t>
            </w:r>
          </w:p>
        </w:tc>
        <w:tc>
          <w:tcPr>
            <w:tcW w:w="1111" w:type="pct"/>
            <w:gridSpan w:val="2"/>
            <w:tcBorders>
              <w:top w:val="single" w:color="auto" w:sz="4" w:space="0"/>
              <w:left w:val="nil"/>
              <w:bottom w:val="single" w:color="auto" w:sz="4" w:space="0"/>
              <w:right w:val="single" w:color="auto" w:sz="4" w:space="0"/>
            </w:tcBorders>
            <w:noWrap/>
            <w:vAlign w:val="center"/>
          </w:tcPr>
          <w:p>
            <w:pPr>
              <w:jc w:val="center"/>
            </w:pPr>
            <w:r>
              <w:t>基准地价</w:t>
            </w:r>
          </w:p>
        </w:tc>
        <w:tc>
          <w:tcPr>
            <w:tcW w:w="1667" w:type="pct"/>
            <w:gridSpan w:val="3"/>
            <w:tcBorders>
              <w:top w:val="single" w:color="auto" w:sz="4" w:space="0"/>
              <w:left w:val="nil"/>
              <w:bottom w:val="single" w:color="auto" w:sz="4" w:space="0"/>
              <w:right w:val="single" w:color="auto" w:sz="4" w:space="0"/>
            </w:tcBorders>
            <w:noWrap/>
            <w:vAlign w:val="center"/>
          </w:tcPr>
          <w:p>
            <w:pPr>
              <w:jc w:val="center"/>
            </w:pPr>
            <w:r>
              <w:t>下限</w:t>
            </w:r>
          </w:p>
        </w:tc>
      </w:tr>
      <w:tr>
        <w:tblPrEx>
          <w:tblCellMar>
            <w:top w:w="0" w:type="dxa"/>
            <w:left w:w="108" w:type="dxa"/>
            <w:bottom w:w="0" w:type="dxa"/>
            <w:right w:w="108" w:type="dxa"/>
          </w:tblCellMar>
        </w:tblPrEx>
        <w:trPr>
          <w:trHeight w:val="405" w:hRule="atLeast"/>
        </w:trPr>
        <w:tc>
          <w:tcPr>
            <w:tcW w:w="0" w:type="auto"/>
            <w:vMerge w:val="continue"/>
            <w:tcBorders>
              <w:top w:val="single" w:color="auto" w:sz="4" w:space="0"/>
              <w:left w:val="single" w:color="auto" w:sz="4" w:space="0"/>
              <w:bottom w:val="single" w:color="auto" w:sz="4" w:space="0"/>
              <w:right w:val="single" w:color="auto" w:sz="4" w:space="0"/>
            </w:tcBorders>
            <w:noWrap w:val="0"/>
            <w:vAlign w:val="center"/>
          </w:tcPr>
          <w:p>
            <w:pPr>
              <w:jc w:val="center"/>
            </w:pPr>
          </w:p>
        </w:tc>
        <w:tc>
          <w:tcPr>
            <w:tcW w:w="419" w:type="pct"/>
            <w:tcBorders>
              <w:top w:val="nil"/>
              <w:left w:val="nil"/>
              <w:bottom w:val="single" w:color="auto" w:sz="4" w:space="0"/>
              <w:right w:val="single" w:color="auto" w:sz="4" w:space="0"/>
            </w:tcBorders>
            <w:noWrap/>
            <w:vAlign w:val="center"/>
          </w:tcPr>
          <w:p>
            <w:pPr>
              <w:jc w:val="center"/>
              <w:rPr>
                <w:sz w:val="18"/>
                <w:szCs w:val="21"/>
              </w:rPr>
            </w:pPr>
            <w:r>
              <w:t>元/</w:t>
            </w:r>
            <w:r>
              <w:rPr>
                <w:rFonts w:hint="eastAsia"/>
                <w:lang w:eastAsia="zh-CN"/>
              </w:rPr>
              <w:t>平方米</w:t>
            </w:r>
          </w:p>
        </w:tc>
        <w:tc>
          <w:tcPr>
            <w:tcW w:w="562" w:type="pct"/>
            <w:tcBorders>
              <w:top w:val="nil"/>
              <w:left w:val="nil"/>
              <w:bottom w:val="single" w:color="auto" w:sz="4" w:space="0"/>
              <w:right w:val="single" w:color="auto" w:sz="4" w:space="0"/>
            </w:tcBorders>
            <w:noWrap/>
            <w:vAlign w:val="center"/>
          </w:tcPr>
          <w:p>
            <w:pPr>
              <w:jc w:val="center"/>
              <w:rPr>
                <w:sz w:val="18"/>
                <w:szCs w:val="21"/>
              </w:rPr>
            </w:pPr>
            <w:r>
              <w:rPr>
                <w:sz w:val="18"/>
                <w:szCs w:val="21"/>
              </w:rPr>
              <w:t>万元/亩</w:t>
            </w:r>
          </w:p>
        </w:tc>
        <w:tc>
          <w:tcPr>
            <w:tcW w:w="685" w:type="pct"/>
            <w:tcBorders>
              <w:top w:val="nil"/>
              <w:left w:val="nil"/>
              <w:bottom w:val="single" w:color="auto" w:sz="4" w:space="0"/>
              <w:right w:val="single" w:color="auto" w:sz="4" w:space="0"/>
            </w:tcBorders>
            <w:noWrap/>
            <w:vAlign w:val="center"/>
          </w:tcPr>
          <w:p>
            <w:pPr>
              <w:jc w:val="center"/>
              <w:rPr>
                <w:sz w:val="18"/>
                <w:szCs w:val="21"/>
              </w:rPr>
            </w:pPr>
            <w:r>
              <w:rPr>
                <w:sz w:val="18"/>
                <w:szCs w:val="21"/>
              </w:rPr>
              <w:t>上调幅度</w:t>
            </w:r>
          </w:p>
        </w:tc>
        <w:tc>
          <w:tcPr>
            <w:tcW w:w="475" w:type="pct"/>
            <w:tcBorders>
              <w:top w:val="nil"/>
              <w:left w:val="nil"/>
              <w:bottom w:val="single" w:color="auto" w:sz="4" w:space="0"/>
              <w:right w:val="single" w:color="auto" w:sz="4" w:space="0"/>
            </w:tcBorders>
            <w:noWrap/>
            <w:vAlign w:val="center"/>
          </w:tcPr>
          <w:p>
            <w:pPr>
              <w:jc w:val="center"/>
              <w:rPr>
                <w:sz w:val="18"/>
                <w:szCs w:val="21"/>
              </w:rPr>
            </w:pPr>
            <w:r>
              <w:t>元/</w:t>
            </w:r>
            <w:r>
              <w:rPr>
                <w:rFonts w:hint="eastAsia"/>
                <w:lang w:eastAsia="zh-CN"/>
              </w:rPr>
              <w:t>平方米</w:t>
            </w:r>
          </w:p>
        </w:tc>
        <w:tc>
          <w:tcPr>
            <w:tcW w:w="636" w:type="pct"/>
            <w:tcBorders>
              <w:top w:val="nil"/>
              <w:left w:val="nil"/>
              <w:bottom w:val="single" w:color="auto" w:sz="4" w:space="0"/>
              <w:right w:val="single" w:color="auto" w:sz="4" w:space="0"/>
            </w:tcBorders>
            <w:noWrap/>
            <w:vAlign w:val="center"/>
          </w:tcPr>
          <w:p>
            <w:pPr>
              <w:jc w:val="center"/>
              <w:rPr>
                <w:sz w:val="18"/>
                <w:szCs w:val="21"/>
              </w:rPr>
            </w:pPr>
            <w:r>
              <w:rPr>
                <w:sz w:val="18"/>
                <w:szCs w:val="21"/>
              </w:rPr>
              <w:t>万元/亩</w:t>
            </w:r>
          </w:p>
        </w:tc>
        <w:tc>
          <w:tcPr>
            <w:tcW w:w="419" w:type="pct"/>
            <w:tcBorders>
              <w:top w:val="nil"/>
              <w:left w:val="nil"/>
              <w:bottom w:val="single" w:color="auto" w:sz="4" w:space="0"/>
              <w:right w:val="single" w:color="auto" w:sz="4" w:space="0"/>
            </w:tcBorders>
            <w:noWrap/>
            <w:vAlign w:val="center"/>
          </w:tcPr>
          <w:p>
            <w:pPr>
              <w:jc w:val="center"/>
              <w:rPr>
                <w:sz w:val="18"/>
                <w:szCs w:val="21"/>
              </w:rPr>
            </w:pPr>
            <w:r>
              <w:t>元/</w:t>
            </w:r>
            <w:r>
              <w:rPr>
                <w:rFonts w:hint="eastAsia"/>
                <w:lang w:eastAsia="zh-CN"/>
              </w:rPr>
              <w:t>平方米</w:t>
            </w:r>
          </w:p>
        </w:tc>
        <w:tc>
          <w:tcPr>
            <w:tcW w:w="562" w:type="pct"/>
            <w:tcBorders>
              <w:top w:val="nil"/>
              <w:left w:val="nil"/>
              <w:bottom w:val="single" w:color="auto" w:sz="4" w:space="0"/>
              <w:right w:val="single" w:color="auto" w:sz="4" w:space="0"/>
            </w:tcBorders>
            <w:noWrap/>
            <w:vAlign w:val="center"/>
          </w:tcPr>
          <w:p>
            <w:pPr>
              <w:jc w:val="center"/>
              <w:rPr>
                <w:sz w:val="18"/>
                <w:szCs w:val="21"/>
              </w:rPr>
            </w:pPr>
            <w:r>
              <w:rPr>
                <w:sz w:val="18"/>
                <w:szCs w:val="21"/>
              </w:rPr>
              <w:t>万元/亩</w:t>
            </w:r>
          </w:p>
        </w:tc>
        <w:tc>
          <w:tcPr>
            <w:tcW w:w="685" w:type="pct"/>
            <w:tcBorders>
              <w:top w:val="nil"/>
              <w:left w:val="nil"/>
              <w:bottom w:val="single" w:color="auto" w:sz="4" w:space="0"/>
              <w:right w:val="single" w:color="auto" w:sz="4" w:space="0"/>
            </w:tcBorders>
            <w:noWrap/>
            <w:vAlign w:val="center"/>
          </w:tcPr>
          <w:p>
            <w:pPr>
              <w:jc w:val="center"/>
              <w:rPr>
                <w:sz w:val="18"/>
                <w:szCs w:val="21"/>
              </w:rPr>
            </w:pPr>
            <w:r>
              <w:rPr>
                <w:sz w:val="18"/>
                <w:szCs w:val="21"/>
              </w:rPr>
              <w:t>下调幅度</w:t>
            </w:r>
          </w:p>
        </w:tc>
      </w:tr>
      <w:tr>
        <w:tblPrEx>
          <w:tblCellMar>
            <w:top w:w="0" w:type="dxa"/>
            <w:left w:w="108" w:type="dxa"/>
            <w:bottom w:w="0" w:type="dxa"/>
            <w:right w:w="108" w:type="dxa"/>
          </w:tblCellMar>
        </w:tblPrEx>
        <w:trPr>
          <w:trHeight w:val="405" w:hRule="atLeast"/>
        </w:trPr>
        <w:tc>
          <w:tcPr>
            <w:tcW w:w="556" w:type="pct"/>
            <w:tcBorders>
              <w:top w:val="nil"/>
              <w:left w:val="single" w:color="auto" w:sz="4" w:space="0"/>
              <w:bottom w:val="single" w:color="auto" w:sz="4" w:space="0"/>
              <w:right w:val="single" w:color="auto" w:sz="4" w:space="0"/>
            </w:tcBorders>
            <w:noWrap/>
            <w:vAlign w:val="center"/>
          </w:tcPr>
          <w:p>
            <w:pPr>
              <w:jc w:val="center"/>
            </w:pPr>
            <w:r>
              <w:t>Ⅰ级</w:t>
            </w:r>
          </w:p>
        </w:tc>
        <w:tc>
          <w:tcPr>
            <w:tcW w:w="419" w:type="pct"/>
            <w:tcBorders>
              <w:top w:val="nil"/>
              <w:left w:val="nil"/>
              <w:bottom w:val="single" w:color="auto" w:sz="4" w:space="0"/>
              <w:right w:val="single" w:color="auto" w:sz="4" w:space="0"/>
            </w:tcBorders>
            <w:noWrap/>
            <w:vAlign w:val="center"/>
          </w:tcPr>
          <w:p>
            <w:pPr>
              <w:jc w:val="center"/>
            </w:pPr>
            <w:r>
              <w:t>372</w:t>
            </w:r>
          </w:p>
        </w:tc>
        <w:tc>
          <w:tcPr>
            <w:tcW w:w="562" w:type="pct"/>
            <w:tcBorders>
              <w:top w:val="nil"/>
              <w:left w:val="nil"/>
              <w:bottom w:val="single" w:color="auto" w:sz="4" w:space="0"/>
              <w:right w:val="single" w:color="auto" w:sz="4" w:space="0"/>
            </w:tcBorders>
            <w:noWrap/>
            <w:vAlign w:val="center"/>
          </w:tcPr>
          <w:p>
            <w:pPr>
              <w:jc w:val="center"/>
            </w:pPr>
            <w:r>
              <w:t>24.80</w:t>
            </w:r>
          </w:p>
        </w:tc>
        <w:tc>
          <w:tcPr>
            <w:tcW w:w="685" w:type="pct"/>
            <w:tcBorders>
              <w:top w:val="nil"/>
              <w:left w:val="nil"/>
              <w:bottom w:val="single" w:color="auto" w:sz="4" w:space="0"/>
              <w:right w:val="single" w:color="auto" w:sz="4" w:space="0"/>
            </w:tcBorders>
            <w:noWrap/>
            <w:vAlign w:val="center"/>
          </w:tcPr>
          <w:p>
            <w:pPr>
              <w:jc w:val="center"/>
            </w:pPr>
            <w:r>
              <w:t>8.14%</w:t>
            </w:r>
          </w:p>
        </w:tc>
        <w:tc>
          <w:tcPr>
            <w:tcW w:w="475" w:type="pct"/>
            <w:tcBorders>
              <w:top w:val="nil"/>
              <w:left w:val="nil"/>
              <w:bottom w:val="single" w:color="auto" w:sz="4" w:space="0"/>
              <w:right w:val="single" w:color="auto" w:sz="4" w:space="0"/>
            </w:tcBorders>
            <w:noWrap/>
            <w:vAlign w:val="center"/>
          </w:tcPr>
          <w:p>
            <w:pPr>
              <w:jc w:val="center"/>
            </w:pPr>
            <w:r>
              <w:t>344</w:t>
            </w:r>
          </w:p>
        </w:tc>
        <w:tc>
          <w:tcPr>
            <w:tcW w:w="636" w:type="pct"/>
            <w:tcBorders>
              <w:top w:val="nil"/>
              <w:left w:val="nil"/>
              <w:bottom w:val="single" w:color="auto" w:sz="4" w:space="0"/>
              <w:right w:val="single" w:color="auto" w:sz="4" w:space="0"/>
            </w:tcBorders>
            <w:noWrap/>
            <w:vAlign w:val="center"/>
          </w:tcPr>
          <w:p>
            <w:pPr>
              <w:jc w:val="center"/>
            </w:pPr>
            <w:r>
              <w:t>22.93</w:t>
            </w:r>
          </w:p>
        </w:tc>
        <w:tc>
          <w:tcPr>
            <w:tcW w:w="419" w:type="pct"/>
            <w:tcBorders>
              <w:top w:val="nil"/>
              <w:left w:val="nil"/>
              <w:bottom w:val="single" w:color="auto" w:sz="4" w:space="0"/>
              <w:right w:val="single" w:color="auto" w:sz="4" w:space="0"/>
            </w:tcBorders>
            <w:noWrap/>
            <w:vAlign w:val="center"/>
          </w:tcPr>
          <w:p>
            <w:pPr>
              <w:jc w:val="center"/>
            </w:pPr>
            <w:r>
              <w:t>320</w:t>
            </w:r>
          </w:p>
        </w:tc>
        <w:tc>
          <w:tcPr>
            <w:tcW w:w="562" w:type="pct"/>
            <w:tcBorders>
              <w:top w:val="nil"/>
              <w:left w:val="nil"/>
              <w:bottom w:val="single" w:color="auto" w:sz="4" w:space="0"/>
              <w:right w:val="single" w:color="auto" w:sz="4" w:space="0"/>
            </w:tcBorders>
            <w:noWrap/>
            <w:vAlign w:val="center"/>
          </w:tcPr>
          <w:p>
            <w:pPr>
              <w:jc w:val="center"/>
            </w:pPr>
            <w:r>
              <w:t>21.33</w:t>
            </w:r>
          </w:p>
        </w:tc>
        <w:tc>
          <w:tcPr>
            <w:tcW w:w="685" w:type="pct"/>
            <w:tcBorders>
              <w:top w:val="nil"/>
              <w:left w:val="nil"/>
              <w:bottom w:val="single" w:color="auto" w:sz="4" w:space="0"/>
              <w:right w:val="single" w:color="auto" w:sz="4" w:space="0"/>
            </w:tcBorders>
            <w:noWrap/>
            <w:vAlign w:val="center"/>
          </w:tcPr>
          <w:p>
            <w:pPr>
              <w:jc w:val="center"/>
            </w:pPr>
            <w:r>
              <w:t>-6.98%</w:t>
            </w:r>
          </w:p>
        </w:tc>
      </w:tr>
      <w:tr>
        <w:tblPrEx>
          <w:tblCellMar>
            <w:top w:w="0" w:type="dxa"/>
            <w:left w:w="108" w:type="dxa"/>
            <w:bottom w:w="0" w:type="dxa"/>
            <w:right w:w="108" w:type="dxa"/>
          </w:tblCellMar>
        </w:tblPrEx>
        <w:trPr>
          <w:trHeight w:val="405" w:hRule="atLeast"/>
        </w:trPr>
        <w:tc>
          <w:tcPr>
            <w:tcW w:w="556" w:type="pct"/>
            <w:tcBorders>
              <w:top w:val="nil"/>
              <w:left w:val="single" w:color="auto" w:sz="4" w:space="0"/>
              <w:bottom w:val="single" w:color="auto" w:sz="4" w:space="0"/>
              <w:right w:val="single" w:color="auto" w:sz="4" w:space="0"/>
            </w:tcBorders>
            <w:noWrap/>
            <w:vAlign w:val="center"/>
          </w:tcPr>
          <w:p>
            <w:pPr>
              <w:jc w:val="center"/>
            </w:pPr>
            <w:r>
              <w:t>Ⅱ级</w:t>
            </w:r>
          </w:p>
        </w:tc>
        <w:tc>
          <w:tcPr>
            <w:tcW w:w="419" w:type="pct"/>
            <w:tcBorders>
              <w:top w:val="nil"/>
              <w:left w:val="nil"/>
              <w:bottom w:val="single" w:color="auto" w:sz="4" w:space="0"/>
              <w:right w:val="single" w:color="auto" w:sz="4" w:space="0"/>
            </w:tcBorders>
            <w:noWrap/>
            <w:vAlign w:val="center"/>
          </w:tcPr>
          <w:p>
            <w:pPr>
              <w:jc w:val="center"/>
            </w:pPr>
            <w:r>
              <w:t>320</w:t>
            </w:r>
          </w:p>
        </w:tc>
        <w:tc>
          <w:tcPr>
            <w:tcW w:w="562" w:type="pct"/>
            <w:tcBorders>
              <w:top w:val="nil"/>
              <w:left w:val="nil"/>
              <w:bottom w:val="single" w:color="auto" w:sz="4" w:space="0"/>
              <w:right w:val="single" w:color="auto" w:sz="4" w:space="0"/>
            </w:tcBorders>
            <w:noWrap/>
            <w:vAlign w:val="center"/>
          </w:tcPr>
          <w:p>
            <w:pPr>
              <w:jc w:val="center"/>
            </w:pPr>
            <w:r>
              <w:t>21.33</w:t>
            </w:r>
          </w:p>
        </w:tc>
        <w:tc>
          <w:tcPr>
            <w:tcW w:w="685" w:type="pct"/>
            <w:tcBorders>
              <w:top w:val="nil"/>
              <w:left w:val="nil"/>
              <w:bottom w:val="single" w:color="auto" w:sz="4" w:space="0"/>
              <w:right w:val="single" w:color="auto" w:sz="4" w:space="0"/>
            </w:tcBorders>
            <w:noWrap/>
            <w:vAlign w:val="center"/>
          </w:tcPr>
          <w:p>
            <w:pPr>
              <w:jc w:val="center"/>
            </w:pPr>
            <w:r>
              <w:t>12.68%</w:t>
            </w:r>
          </w:p>
        </w:tc>
        <w:tc>
          <w:tcPr>
            <w:tcW w:w="475" w:type="pct"/>
            <w:tcBorders>
              <w:top w:val="nil"/>
              <w:left w:val="nil"/>
              <w:bottom w:val="single" w:color="auto" w:sz="4" w:space="0"/>
              <w:right w:val="single" w:color="auto" w:sz="4" w:space="0"/>
            </w:tcBorders>
            <w:noWrap/>
            <w:vAlign w:val="center"/>
          </w:tcPr>
          <w:p>
            <w:pPr>
              <w:jc w:val="center"/>
            </w:pPr>
            <w:r>
              <w:t>284</w:t>
            </w:r>
          </w:p>
        </w:tc>
        <w:tc>
          <w:tcPr>
            <w:tcW w:w="636" w:type="pct"/>
            <w:tcBorders>
              <w:top w:val="nil"/>
              <w:left w:val="nil"/>
              <w:bottom w:val="single" w:color="auto" w:sz="4" w:space="0"/>
              <w:right w:val="single" w:color="auto" w:sz="4" w:space="0"/>
            </w:tcBorders>
            <w:noWrap/>
            <w:vAlign w:val="center"/>
          </w:tcPr>
          <w:p>
            <w:pPr>
              <w:jc w:val="center"/>
            </w:pPr>
            <w:r>
              <w:t>18.93</w:t>
            </w:r>
          </w:p>
        </w:tc>
        <w:tc>
          <w:tcPr>
            <w:tcW w:w="419" w:type="pct"/>
            <w:tcBorders>
              <w:top w:val="nil"/>
              <w:left w:val="nil"/>
              <w:bottom w:val="single" w:color="auto" w:sz="4" w:space="0"/>
              <w:right w:val="single" w:color="auto" w:sz="4" w:space="0"/>
            </w:tcBorders>
            <w:noWrap/>
            <w:vAlign w:val="center"/>
          </w:tcPr>
          <w:p>
            <w:pPr>
              <w:jc w:val="center"/>
            </w:pPr>
            <w:r>
              <w:t>258</w:t>
            </w:r>
          </w:p>
        </w:tc>
        <w:tc>
          <w:tcPr>
            <w:tcW w:w="562" w:type="pct"/>
            <w:tcBorders>
              <w:top w:val="nil"/>
              <w:left w:val="nil"/>
              <w:bottom w:val="single" w:color="auto" w:sz="4" w:space="0"/>
              <w:right w:val="single" w:color="auto" w:sz="4" w:space="0"/>
            </w:tcBorders>
            <w:noWrap/>
            <w:vAlign w:val="center"/>
          </w:tcPr>
          <w:p>
            <w:pPr>
              <w:jc w:val="center"/>
            </w:pPr>
            <w:r>
              <w:t>17.20</w:t>
            </w:r>
          </w:p>
        </w:tc>
        <w:tc>
          <w:tcPr>
            <w:tcW w:w="685" w:type="pct"/>
            <w:tcBorders>
              <w:top w:val="nil"/>
              <w:left w:val="nil"/>
              <w:bottom w:val="single" w:color="auto" w:sz="4" w:space="0"/>
              <w:right w:val="single" w:color="auto" w:sz="4" w:space="0"/>
            </w:tcBorders>
            <w:noWrap/>
            <w:vAlign w:val="center"/>
          </w:tcPr>
          <w:p>
            <w:pPr>
              <w:jc w:val="center"/>
            </w:pPr>
            <w:r>
              <w:t>-9.15%</w:t>
            </w:r>
          </w:p>
        </w:tc>
      </w:tr>
      <w:tr>
        <w:tblPrEx>
          <w:tblCellMar>
            <w:top w:w="0" w:type="dxa"/>
            <w:left w:w="108" w:type="dxa"/>
            <w:bottom w:w="0" w:type="dxa"/>
            <w:right w:w="108" w:type="dxa"/>
          </w:tblCellMar>
        </w:tblPrEx>
        <w:trPr>
          <w:trHeight w:val="405" w:hRule="atLeast"/>
        </w:trPr>
        <w:tc>
          <w:tcPr>
            <w:tcW w:w="556" w:type="pct"/>
            <w:tcBorders>
              <w:top w:val="nil"/>
              <w:left w:val="single" w:color="auto" w:sz="4" w:space="0"/>
              <w:bottom w:val="single" w:color="auto" w:sz="4" w:space="0"/>
              <w:right w:val="single" w:color="auto" w:sz="4" w:space="0"/>
            </w:tcBorders>
            <w:noWrap/>
            <w:vAlign w:val="center"/>
          </w:tcPr>
          <w:p>
            <w:pPr>
              <w:jc w:val="center"/>
            </w:pPr>
            <w:r>
              <w:t>Ⅲ级</w:t>
            </w:r>
          </w:p>
        </w:tc>
        <w:tc>
          <w:tcPr>
            <w:tcW w:w="419" w:type="pct"/>
            <w:tcBorders>
              <w:top w:val="nil"/>
              <w:left w:val="nil"/>
              <w:bottom w:val="single" w:color="auto" w:sz="4" w:space="0"/>
              <w:right w:val="single" w:color="auto" w:sz="4" w:space="0"/>
            </w:tcBorders>
            <w:noWrap/>
            <w:vAlign w:val="center"/>
          </w:tcPr>
          <w:p>
            <w:pPr>
              <w:jc w:val="center"/>
            </w:pPr>
            <w:r>
              <w:t>258</w:t>
            </w:r>
          </w:p>
        </w:tc>
        <w:tc>
          <w:tcPr>
            <w:tcW w:w="562" w:type="pct"/>
            <w:tcBorders>
              <w:top w:val="nil"/>
              <w:left w:val="nil"/>
              <w:bottom w:val="single" w:color="auto" w:sz="4" w:space="0"/>
              <w:right w:val="single" w:color="auto" w:sz="4" w:space="0"/>
            </w:tcBorders>
            <w:noWrap/>
            <w:vAlign w:val="center"/>
          </w:tcPr>
          <w:p>
            <w:pPr>
              <w:jc w:val="center"/>
            </w:pPr>
            <w:r>
              <w:t>17.20</w:t>
            </w:r>
          </w:p>
        </w:tc>
        <w:tc>
          <w:tcPr>
            <w:tcW w:w="685" w:type="pct"/>
            <w:tcBorders>
              <w:top w:val="nil"/>
              <w:left w:val="nil"/>
              <w:bottom w:val="single" w:color="auto" w:sz="4" w:space="0"/>
              <w:right w:val="single" w:color="auto" w:sz="4" w:space="0"/>
            </w:tcBorders>
            <w:noWrap/>
            <w:vAlign w:val="center"/>
          </w:tcPr>
          <w:p>
            <w:pPr>
              <w:jc w:val="center"/>
            </w:pPr>
            <w:r>
              <w:t>8.40%</w:t>
            </w:r>
          </w:p>
        </w:tc>
        <w:tc>
          <w:tcPr>
            <w:tcW w:w="475" w:type="pct"/>
            <w:tcBorders>
              <w:top w:val="nil"/>
              <w:left w:val="nil"/>
              <w:bottom w:val="single" w:color="auto" w:sz="4" w:space="0"/>
              <w:right w:val="single" w:color="auto" w:sz="4" w:space="0"/>
            </w:tcBorders>
            <w:noWrap/>
            <w:vAlign w:val="center"/>
          </w:tcPr>
          <w:p>
            <w:pPr>
              <w:jc w:val="center"/>
            </w:pPr>
            <w:r>
              <w:t>238</w:t>
            </w:r>
          </w:p>
        </w:tc>
        <w:tc>
          <w:tcPr>
            <w:tcW w:w="636" w:type="pct"/>
            <w:tcBorders>
              <w:top w:val="nil"/>
              <w:left w:val="nil"/>
              <w:bottom w:val="single" w:color="auto" w:sz="4" w:space="0"/>
              <w:right w:val="single" w:color="auto" w:sz="4" w:space="0"/>
            </w:tcBorders>
            <w:noWrap/>
            <w:vAlign w:val="center"/>
          </w:tcPr>
          <w:p>
            <w:pPr>
              <w:jc w:val="center"/>
            </w:pPr>
            <w:r>
              <w:t>15.87</w:t>
            </w:r>
          </w:p>
        </w:tc>
        <w:tc>
          <w:tcPr>
            <w:tcW w:w="419" w:type="pct"/>
            <w:tcBorders>
              <w:top w:val="nil"/>
              <w:left w:val="nil"/>
              <w:bottom w:val="single" w:color="auto" w:sz="4" w:space="0"/>
              <w:right w:val="single" w:color="auto" w:sz="4" w:space="0"/>
            </w:tcBorders>
            <w:noWrap/>
            <w:vAlign w:val="center"/>
          </w:tcPr>
          <w:p>
            <w:pPr>
              <w:jc w:val="center"/>
            </w:pPr>
            <w:r>
              <w:t>216</w:t>
            </w:r>
          </w:p>
        </w:tc>
        <w:tc>
          <w:tcPr>
            <w:tcW w:w="562" w:type="pct"/>
            <w:tcBorders>
              <w:top w:val="nil"/>
              <w:left w:val="nil"/>
              <w:bottom w:val="single" w:color="auto" w:sz="4" w:space="0"/>
              <w:right w:val="single" w:color="auto" w:sz="4" w:space="0"/>
            </w:tcBorders>
            <w:noWrap/>
            <w:vAlign w:val="center"/>
          </w:tcPr>
          <w:p>
            <w:pPr>
              <w:jc w:val="center"/>
            </w:pPr>
            <w:r>
              <w:t>14.40</w:t>
            </w:r>
          </w:p>
        </w:tc>
        <w:tc>
          <w:tcPr>
            <w:tcW w:w="685" w:type="pct"/>
            <w:tcBorders>
              <w:top w:val="nil"/>
              <w:left w:val="nil"/>
              <w:bottom w:val="single" w:color="auto" w:sz="4" w:space="0"/>
              <w:right w:val="single" w:color="auto" w:sz="4" w:space="0"/>
            </w:tcBorders>
            <w:noWrap/>
            <w:vAlign w:val="center"/>
          </w:tcPr>
          <w:p>
            <w:pPr>
              <w:jc w:val="center"/>
            </w:pPr>
            <w:r>
              <w:t>-9.24%</w:t>
            </w:r>
          </w:p>
        </w:tc>
      </w:tr>
    </w:tbl>
    <w:p>
      <w:pPr>
        <w:jc w:val="center"/>
        <w:rPr>
          <w:rFonts w:hint="eastAsia" w:ascii="仿宋_GB2312" w:hAnsi="仿宋_GB2312" w:eastAsia="仿宋_GB2312" w:cs="仿宋_GB2312"/>
          <w:sz w:val="32"/>
          <w:szCs w:val="32"/>
        </w:rPr>
      </w:pPr>
      <w:r>
        <w:rPr>
          <w:rFonts w:hint="eastAsia" w:ascii="仿宋_GB2312" w:hAnsi="仿宋_GB2312" w:eastAsia="仿宋_GB2312" w:cs="仿宋_GB2312"/>
          <w:sz w:val="32"/>
          <w:szCs w:val="32"/>
          <w:lang w:eastAsia="zh-CN"/>
        </w:rPr>
        <w:t>表</w:t>
      </w:r>
      <w:r>
        <w:rPr>
          <w:rFonts w:hint="eastAsia" w:ascii="仿宋_GB2312" w:hAnsi="仿宋_GB2312" w:eastAsia="仿宋_GB2312" w:cs="仿宋_GB2312"/>
          <w:sz w:val="32"/>
          <w:szCs w:val="32"/>
          <w:lang w:val="en-US" w:eastAsia="zh-CN"/>
        </w:rPr>
        <w:t>2</w:t>
      </w:r>
      <w:r>
        <w:rPr>
          <w:rFonts w:hint="eastAsia" w:ascii="仿宋_GB2312" w:hAnsi="仿宋_GB2312" w:eastAsia="仿宋_GB2312" w:cs="仿宋_GB2312"/>
          <w:sz w:val="32"/>
          <w:szCs w:val="32"/>
        </w:rPr>
        <w:t>阳高县宅基地基准地价区间表</w:t>
      </w:r>
    </w:p>
    <w:tbl>
      <w:tblPr>
        <w:tblStyle w:val="2"/>
        <w:tblW w:w="5000" w:type="pct"/>
        <w:tblInd w:w="0" w:type="dxa"/>
        <w:tblLayout w:type="fixed"/>
        <w:tblCellMar>
          <w:top w:w="0" w:type="dxa"/>
          <w:left w:w="108" w:type="dxa"/>
          <w:bottom w:w="0" w:type="dxa"/>
          <w:right w:w="108" w:type="dxa"/>
        </w:tblCellMar>
      </w:tblPr>
      <w:tblGrid>
        <w:gridCol w:w="631"/>
        <w:gridCol w:w="1051"/>
        <w:gridCol w:w="879"/>
        <w:gridCol w:w="1011"/>
        <w:gridCol w:w="1054"/>
        <w:gridCol w:w="877"/>
        <w:gridCol w:w="1035"/>
        <w:gridCol w:w="895"/>
        <w:gridCol w:w="1089"/>
      </w:tblGrid>
      <w:tr>
        <w:tblPrEx>
          <w:tblCellMar>
            <w:top w:w="0" w:type="dxa"/>
            <w:left w:w="108" w:type="dxa"/>
            <w:bottom w:w="0" w:type="dxa"/>
            <w:right w:w="108" w:type="dxa"/>
          </w:tblCellMar>
        </w:tblPrEx>
        <w:trPr>
          <w:trHeight w:val="405" w:hRule="atLeast"/>
        </w:trPr>
        <w:tc>
          <w:tcPr>
            <w:tcW w:w="370" w:type="pct"/>
            <w:vMerge w:val="restart"/>
            <w:tcBorders>
              <w:top w:val="single" w:color="auto" w:sz="4" w:space="0"/>
              <w:left w:val="single" w:color="auto" w:sz="4" w:space="0"/>
              <w:bottom w:val="single" w:color="auto" w:sz="4" w:space="0"/>
              <w:right w:val="single" w:color="auto" w:sz="4" w:space="0"/>
            </w:tcBorders>
            <w:noWrap/>
            <w:vAlign w:val="center"/>
          </w:tcPr>
          <w:p>
            <w:pPr>
              <w:jc w:val="center"/>
            </w:pPr>
            <w:r>
              <w:t>级别</w:t>
            </w:r>
          </w:p>
        </w:tc>
        <w:tc>
          <w:tcPr>
            <w:tcW w:w="1725" w:type="pct"/>
            <w:gridSpan w:val="3"/>
            <w:tcBorders>
              <w:top w:val="single" w:color="auto" w:sz="4" w:space="0"/>
              <w:left w:val="nil"/>
              <w:bottom w:val="single" w:color="auto" w:sz="4" w:space="0"/>
              <w:right w:val="single" w:color="auto" w:sz="4" w:space="0"/>
            </w:tcBorders>
            <w:noWrap/>
            <w:vAlign w:val="center"/>
          </w:tcPr>
          <w:p>
            <w:pPr>
              <w:jc w:val="center"/>
            </w:pPr>
            <w:r>
              <w:t>上限</w:t>
            </w:r>
          </w:p>
        </w:tc>
        <w:tc>
          <w:tcPr>
            <w:tcW w:w="1132" w:type="pct"/>
            <w:gridSpan w:val="2"/>
            <w:tcBorders>
              <w:top w:val="single" w:color="auto" w:sz="4" w:space="0"/>
              <w:left w:val="nil"/>
              <w:bottom w:val="single" w:color="auto" w:sz="4" w:space="0"/>
              <w:right w:val="single" w:color="auto" w:sz="4" w:space="0"/>
            </w:tcBorders>
            <w:noWrap/>
            <w:vAlign w:val="center"/>
          </w:tcPr>
          <w:p>
            <w:pPr>
              <w:jc w:val="center"/>
            </w:pPr>
            <w:r>
              <w:t>基准地价</w:t>
            </w:r>
          </w:p>
        </w:tc>
        <w:tc>
          <w:tcPr>
            <w:tcW w:w="1771" w:type="pct"/>
            <w:gridSpan w:val="3"/>
            <w:tcBorders>
              <w:top w:val="single" w:color="auto" w:sz="4" w:space="0"/>
              <w:left w:val="nil"/>
              <w:bottom w:val="single" w:color="auto" w:sz="4" w:space="0"/>
              <w:right w:val="single" w:color="auto" w:sz="4" w:space="0"/>
            </w:tcBorders>
            <w:noWrap/>
            <w:vAlign w:val="center"/>
          </w:tcPr>
          <w:p>
            <w:pPr>
              <w:jc w:val="center"/>
            </w:pPr>
            <w:r>
              <w:t>下限</w:t>
            </w:r>
          </w:p>
        </w:tc>
      </w:tr>
      <w:tr>
        <w:tblPrEx>
          <w:tblCellMar>
            <w:top w:w="0" w:type="dxa"/>
            <w:left w:w="108" w:type="dxa"/>
            <w:bottom w:w="0" w:type="dxa"/>
            <w:right w:w="108" w:type="dxa"/>
          </w:tblCellMar>
        </w:tblPrEx>
        <w:trPr>
          <w:trHeight w:val="405" w:hRule="atLeast"/>
        </w:trPr>
        <w:tc>
          <w:tcPr>
            <w:tcW w:w="370" w:type="pct"/>
            <w:vMerge w:val="continue"/>
            <w:tcBorders>
              <w:top w:val="single" w:color="auto" w:sz="4" w:space="0"/>
              <w:left w:val="single" w:color="auto" w:sz="4" w:space="0"/>
              <w:bottom w:val="single" w:color="auto" w:sz="4" w:space="0"/>
              <w:right w:val="single" w:color="auto" w:sz="4" w:space="0"/>
            </w:tcBorders>
            <w:noWrap w:val="0"/>
            <w:vAlign w:val="center"/>
          </w:tcPr>
          <w:p>
            <w:pPr>
              <w:jc w:val="center"/>
            </w:pPr>
          </w:p>
        </w:tc>
        <w:tc>
          <w:tcPr>
            <w:tcW w:w="616" w:type="pct"/>
            <w:tcBorders>
              <w:top w:val="nil"/>
              <w:left w:val="nil"/>
              <w:bottom w:val="single" w:color="auto" w:sz="4" w:space="0"/>
              <w:right w:val="single" w:color="auto" w:sz="4" w:space="0"/>
            </w:tcBorders>
            <w:noWrap/>
            <w:vAlign w:val="center"/>
          </w:tcPr>
          <w:p>
            <w:pPr>
              <w:jc w:val="center"/>
              <w:rPr>
                <w:sz w:val="18"/>
                <w:szCs w:val="18"/>
              </w:rPr>
            </w:pPr>
            <w:r>
              <w:rPr>
                <w:sz w:val="18"/>
                <w:szCs w:val="18"/>
              </w:rPr>
              <w:t>元/</w:t>
            </w:r>
            <w:r>
              <w:rPr>
                <w:rFonts w:hint="eastAsia"/>
                <w:sz w:val="18"/>
                <w:szCs w:val="18"/>
                <w:lang w:eastAsia="zh-CN"/>
              </w:rPr>
              <w:t>平方米</w:t>
            </w:r>
          </w:p>
        </w:tc>
        <w:tc>
          <w:tcPr>
            <w:tcW w:w="515" w:type="pct"/>
            <w:tcBorders>
              <w:top w:val="nil"/>
              <w:left w:val="nil"/>
              <w:bottom w:val="single" w:color="auto" w:sz="4" w:space="0"/>
              <w:right w:val="single" w:color="auto" w:sz="4" w:space="0"/>
            </w:tcBorders>
            <w:noWrap/>
            <w:vAlign w:val="center"/>
          </w:tcPr>
          <w:p>
            <w:pPr>
              <w:jc w:val="center"/>
              <w:rPr>
                <w:sz w:val="18"/>
                <w:szCs w:val="18"/>
              </w:rPr>
            </w:pPr>
            <w:r>
              <w:rPr>
                <w:sz w:val="18"/>
                <w:szCs w:val="18"/>
              </w:rPr>
              <w:t>万元/亩</w:t>
            </w:r>
          </w:p>
        </w:tc>
        <w:tc>
          <w:tcPr>
            <w:tcW w:w="593" w:type="pct"/>
            <w:tcBorders>
              <w:top w:val="nil"/>
              <w:left w:val="nil"/>
              <w:bottom w:val="single" w:color="auto" w:sz="4" w:space="0"/>
              <w:right w:val="single" w:color="auto" w:sz="4" w:space="0"/>
            </w:tcBorders>
            <w:noWrap/>
            <w:vAlign w:val="center"/>
          </w:tcPr>
          <w:p>
            <w:pPr>
              <w:jc w:val="center"/>
              <w:rPr>
                <w:sz w:val="18"/>
                <w:szCs w:val="18"/>
              </w:rPr>
            </w:pPr>
            <w:r>
              <w:rPr>
                <w:sz w:val="18"/>
                <w:szCs w:val="18"/>
              </w:rPr>
              <w:t>上调幅度</w:t>
            </w:r>
          </w:p>
        </w:tc>
        <w:tc>
          <w:tcPr>
            <w:tcW w:w="618" w:type="pct"/>
            <w:tcBorders>
              <w:top w:val="nil"/>
              <w:left w:val="nil"/>
              <w:bottom w:val="single" w:color="auto" w:sz="4" w:space="0"/>
              <w:right w:val="single" w:color="auto" w:sz="4" w:space="0"/>
            </w:tcBorders>
            <w:noWrap/>
            <w:vAlign w:val="center"/>
          </w:tcPr>
          <w:p>
            <w:pPr>
              <w:jc w:val="center"/>
              <w:rPr>
                <w:sz w:val="18"/>
                <w:szCs w:val="18"/>
              </w:rPr>
            </w:pPr>
            <w:r>
              <w:rPr>
                <w:sz w:val="18"/>
                <w:szCs w:val="18"/>
              </w:rPr>
              <w:t>元/</w:t>
            </w:r>
            <w:r>
              <w:rPr>
                <w:rFonts w:hint="eastAsia"/>
                <w:sz w:val="18"/>
                <w:szCs w:val="18"/>
                <w:lang w:eastAsia="zh-CN"/>
              </w:rPr>
              <w:t>平方米</w:t>
            </w:r>
          </w:p>
        </w:tc>
        <w:tc>
          <w:tcPr>
            <w:tcW w:w="514" w:type="pct"/>
            <w:tcBorders>
              <w:top w:val="nil"/>
              <w:left w:val="nil"/>
              <w:bottom w:val="single" w:color="auto" w:sz="4" w:space="0"/>
              <w:right w:val="single" w:color="auto" w:sz="4" w:space="0"/>
            </w:tcBorders>
            <w:noWrap/>
            <w:vAlign w:val="center"/>
          </w:tcPr>
          <w:p>
            <w:pPr>
              <w:jc w:val="center"/>
              <w:rPr>
                <w:sz w:val="18"/>
                <w:szCs w:val="18"/>
              </w:rPr>
            </w:pPr>
            <w:r>
              <w:rPr>
                <w:sz w:val="18"/>
                <w:szCs w:val="18"/>
              </w:rPr>
              <w:t>万元/亩</w:t>
            </w:r>
          </w:p>
        </w:tc>
        <w:tc>
          <w:tcPr>
            <w:tcW w:w="607" w:type="pct"/>
            <w:tcBorders>
              <w:top w:val="nil"/>
              <w:left w:val="nil"/>
              <w:bottom w:val="single" w:color="auto" w:sz="4" w:space="0"/>
              <w:right w:val="single" w:color="auto" w:sz="4" w:space="0"/>
            </w:tcBorders>
            <w:noWrap/>
            <w:vAlign w:val="center"/>
          </w:tcPr>
          <w:p>
            <w:pPr>
              <w:jc w:val="center"/>
              <w:rPr>
                <w:sz w:val="18"/>
                <w:szCs w:val="18"/>
              </w:rPr>
            </w:pPr>
            <w:r>
              <w:rPr>
                <w:sz w:val="18"/>
                <w:szCs w:val="18"/>
              </w:rPr>
              <w:t>元/</w:t>
            </w:r>
            <w:r>
              <w:rPr>
                <w:rFonts w:hint="eastAsia"/>
                <w:sz w:val="18"/>
                <w:szCs w:val="18"/>
                <w:lang w:eastAsia="zh-CN"/>
              </w:rPr>
              <w:t>平方米</w:t>
            </w:r>
          </w:p>
        </w:tc>
        <w:tc>
          <w:tcPr>
            <w:tcW w:w="525" w:type="pct"/>
            <w:tcBorders>
              <w:top w:val="nil"/>
              <w:left w:val="nil"/>
              <w:bottom w:val="single" w:color="auto" w:sz="4" w:space="0"/>
              <w:right w:val="single" w:color="auto" w:sz="4" w:space="0"/>
            </w:tcBorders>
            <w:noWrap/>
            <w:vAlign w:val="center"/>
          </w:tcPr>
          <w:p>
            <w:pPr>
              <w:jc w:val="center"/>
              <w:rPr>
                <w:sz w:val="18"/>
                <w:szCs w:val="18"/>
              </w:rPr>
            </w:pPr>
            <w:r>
              <w:rPr>
                <w:sz w:val="18"/>
                <w:szCs w:val="18"/>
              </w:rPr>
              <w:t>万元/亩</w:t>
            </w:r>
          </w:p>
        </w:tc>
        <w:tc>
          <w:tcPr>
            <w:tcW w:w="638" w:type="pct"/>
            <w:tcBorders>
              <w:top w:val="nil"/>
              <w:left w:val="nil"/>
              <w:bottom w:val="single" w:color="auto" w:sz="4" w:space="0"/>
              <w:right w:val="single" w:color="auto" w:sz="4" w:space="0"/>
            </w:tcBorders>
            <w:noWrap/>
            <w:vAlign w:val="center"/>
          </w:tcPr>
          <w:p>
            <w:pPr>
              <w:jc w:val="center"/>
              <w:rPr>
                <w:sz w:val="18"/>
                <w:szCs w:val="18"/>
              </w:rPr>
            </w:pPr>
            <w:r>
              <w:rPr>
                <w:sz w:val="18"/>
                <w:szCs w:val="18"/>
              </w:rPr>
              <w:t>下调幅度</w:t>
            </w:r>
          </w:p>
        </w:tc>
      </w:tr>
      <w:tr>
        <w:tblPrEx>
          <w:tblCellMar>
            <w:top w:w="0" w:type="dxa"/>
            <w:left w:w="108" w:type="dxa"/>
            <w:bottom w:w="0" w:type="dxa"/>
            <w:right w:w="108" w:type="dxa"/>
          </w:tblCellMar>
        </w:tblPrEx>
        <w:trPr>
          <w:trHeight w:val="405" w:hRule="atLeast"/>
        </w:trPr>
        <w:tc>
          <w:tcPr>
            <w:tcW w:w="370" w:type="pct"/>
            <w:tcBorders>
              <w:top w:val="nil"/>
              <w:left w:val="single" w:color="auto" w:sz="4" w:space="0"/>
              <w:bottom w:val="single" w:color="auto" w:sz="4" w:space="0"/>
              <w:right w:val="single" w:color="auto" w:sz="4" w:space="0"/>
            </w:tcBorders>
            <w:noWrap/>
            <w:vAlign w:val="center"/>
          </w:tcPr>
          <w:p>
            <w:pPr>
              <w:jc w:val="center"/>
            </w:pPr>
            <w:r>
              <w:t>Ⅰ级</w:t>
            </w:r>
          </w:p>
        </w:tc>
        <w:tc>
          <w:tcPr>
            <w:tcW w:w="616" w:type="pct"/>
            <w:tcBorders>
              <w:top w:val="nil"/>
              <w:left w:val="nil"/>
              <w:bottom w:val="single" w:color="auto" w:sz="4" w:space="0"/>
              <w:right w:val="single" w:color="auto" w:sz="4" w:space="0"/>
            </w:tcBorders>
            <w:noWrap/>
            <w:vAlign w:val="center"/>
          </w:tcPr>
          <w:p>
            <w:pPr>
              <w:jc w:val="center"/>
            </w:pPr>
            <w:r>
              <w:t>258</w:t>
            </w:r>
          </w:p>
        </w:tc>
        <w:tc>
          <w:tcPr>
            <w:tcW w:w="515" w:type="pct"/>
            <w:tcBorders>
              <w:top w:val="nil"/>
              <w:left w:val="nil"/>
              <w:bottom w:val="single" w:color="auto" w:sz="4" w:space="0"/>
              <w:right w:val="single" w:color="auto" w:sz="4" w:space="0"/>
            </w:tcBorders>
            <w:noWrap/>
            <w:vAlign w:val="center"/>
          </w:tcPr>
          <w:p>
            <w:pPr>
              <w:jc w:val="center"/>
            </w:pPr>
            <w:r>
              <w:t>17.2</w:t>
            </w:r>
          </w:p>
        </w:tc>
        <w:tc>
          <w:tcPr>
            <w:tcW w:w="593" w:type="pct"/>
            <w:tcBorders>
              <w:top w:val="nil"/>
              <w:left w:val="nil"/>
              <w:bottom w:val="single" w:color="auto" w:sz="4" w:space="0"/>
              <w:right w:val="single" w:color="auto" w:sz="4" w:space="0"/>
            </w:tcBorders>
            <w:noWrap/>
            <w:vAlign w:val="center"/>
          </w:tcPr>
          <w:p>
            <w:pPr>
              <w:jc w:val="center"/>
            </w:pPr>
            <w:r>
              <w:t>6.17%</w:t>
            </w:r>
          </w:p>
        </w:tc>
        <w:tc>
          <w:tcPr>
            <w:tcW w:w="618" w:type="pct"/>
            <w:tcBorders>
              <w:top w:val="nil"/>
              <w:left w:val="nil"/>
              <w:bottom w:val="single" w:color="auto" w:sz="4" w:space="0"/>
              <w:right w:val="single" w:color="auto" w:sz="4" w:space="0"/>
            </w:tcBorders>
            <w:noWrap/>
            <w:vAlign w:val="center"/>
          </w:tcPr>
          <w:p>
            <w:pPr>
              <w:jc w:val="center"/>
            </w:pPr>
            <w:r>
              <w:t>243</w:t>
            </w:r>
          </w:p>
        </w:tc>
        <w:tc>
          <w:tcPr>
            <w:tcW w:w="514" w:type="pct"/>
            <w:tcBorders>
              <w:top w:val="nil"/>
              <w:left w:val="nil"/>
              <w:bottom w:val="single" w:color="auto" w:sz="4" w:space="0"/>
              <w:right w:val="single" w:color="auto" w:sz="4" w:space="0"/>
            </w:tcBorders>
            <w:noWrap/>
            <w:vAlign w:val="center"/>
          </w:tcPr>
          <w:p>
            <w:pPr>
              <w:jc w:val="center"/>
            </w:pPr>
            <w:r>
              <w:t>16.2</w:t>
            </w:r>
          </w:p>
        </w:tc>
        <w:tc>
          <w:tcPr>
            <w:tcW w:w="607" w:type="pct"/>
            <w:tcBorders>
              <w:top w:val="nil"/>
              <w:left w:val="nil"/>
              <w:bottom w:val="single" w:color="auto" w:sz="4" w:space="0"/>
              <w:right w:val="single" w:color="auto" w:sz="4" w:space="0"/>
            </w:tcBorders>
            <w:noWrap/>
            <w:vAlign w:val="center"/>
          </w:tcPr>
          <w:p>
            <w:pPr>
              <w:jc w:val="center"/>
            </w:pPr>
            <w:r>
              <w:t>225</w:t>
            </w:r>
          </w:p>
        </w:tc>
        <w:tc>
          <w:tcPr>
            <w:tcW w:w="525" w:type="pct"/>
            <w:tcBorders>
              <w:top w:val="nil"/>
              <w:left w:val="nil"/>
              <w:bottom w:val="single" w:color="auto" w:sz="4" w:space="0"/>
              <w:right w:val="single" w:color="auto" w:sz="4" w:space="0"/>
            </w:tcBorders>
            <w:noWrap/>
            <w:vAlign w:val="center"/>
          </w:tcPr>
          <w:p>
            <w:pPr>
              <w:jc w:val="center"/>
            </w:pPr>
            <w:r>
              <w:t>15</w:t>
            </w:r>
          </w:p>
        </w:tc>
        <w:tc>
          <w:tcPr>
            <w:tcW w:w="638" w:type="pct"/>
            <w:tcBorders>
              <w:top w:val="nil"/>
              <w:left w:val="nil"/>
              <w:bottom w:val="single" w:color="auto" w:sz="4" w:space="0"/>
              <w:right w:val="single" w:color="auto" w:sz="4" w:space="0"/>
            </w:tcBorders>
            <w:noWrap/>
            <w:vAlign w:val="center"/>
          </w:tcPr>
          <w:p>
            <w:pPr>
              <w:jc w:val="center"/>
            </w:pPr>
            <w:r>
              <w:t>-7.41%</w:t>
            </w:r>
          </w:p>
        </w:tc>
      </w:tr>
      <w:tr>
        <w:tblPrEx>
          <w:tblCellMar>
            <w:top w:w="0" w:type="dxa"/>
            <w:left w:w="108" w:type="dxa"/>
            <w:bottom w:w="0" w:type="dxa"/>
            <w:right w:w="108" w:type="dxa"/>
          </w:tblCellMar>
        </w:tblPrEx>
        <w:trPr>
          <w:trHeight w:val="405" w:hRule="atLeast"/>
        </w:trPr>
        <w:tc>
          <w:tcPr>
            <w:tcW w:w="370" w:type="pct"/>
            <w:tcBorders>
              <w:top w:val="nil"/>
              <w:left w:val="single" w:color="auto" w:sz="4" w:space="0"/>
              <w:bottom w:val="single" w:color="auto" w:sz="4" w:space="0"/>
              <w:right w:val="single" w:color="auto" w:sz="4" w:space="0"/>
            </w:tcBorders>
            <w:noWrap/>
            <w:vAlign w:val="center"/>
          </w:tcPr>
          <w:p>
            <w:pPr>
              <w:jc w:val="center"/>
            </w:pPr>
            <w:r>
              <w:t>Ⅱ级</w:t>
            </w:r>
          </w:p>
        </w:tc>
        <w:tc>
          <w:tcPr>
            <w:tcW w:w="616" w:type="pct"/>
            <w:tcBorders>
              <w:top w:val="nil"/>
              <w:left w:val="nil"/>
              <w:bottom w:val="single" w:color="auto" w:sz="4" w:space="0"/>
              <w:right w:val="single" w:color="auto" w:sz="4" w:space="0"/>
            </w:tcBorders>
            <w:noWrap/>
            <w:vAlign w:val="center"/>
          </w:tcPr>
          <w:p>
            <w:pPr>
              <w:jc w:val="center"/>
            </w:pPr>
            <w:r>
              <w:t>225</w:t>
            </w:r>
          </w:p>
        </w:tc>
        <w:tc>
          <w:tcPr>
            <w:tcW w:w="515" w:type="pct"/>
            <w:tcBorders>
              <w:top w:val="nil"/>
              <w:left w:val="nil"/>
              <w:bottom w:val="single" w:color="auto" w:sz="4" w:space="0"/>
              <w:right w:val="single" w:color="auto" w:sz="4" w:space="0"/>
            </w:tcBorders>
            <w:noWrap/>
            <w:vAlign w:val="center"/>
          </w:tcPr>
          <w:p>
            <w:pPr>
              <w:jc w:val="center"/>
            </w:pPr>
            <w:r>
              <w:t>15</w:t>
            </w:r>
          </w:p>
        </w:tc>
        <w:tc>
          <w:tcPr>
            <w:tcW w:w="593" w:type="pct"/>
            <w:tcBorders>
              <w:top w:val="nil"/>
              <w:left w:val="nil"/>
              <w:bottom w:val="single" w:color="auto" w:sz="4" w:space="0"/>
              <w:right w:val="single" w:color="auto" w:sz="4" w:space="0"/>
            </w:tcBorders>
            <w:noWrap/>
            <w:vAlign w:val="center"/>
          </w:tcPr>
          <w:p>
            <w:pPr>
              <w:jc w:val="center"/>
            </w:pPr>
            <w:r>
              <w:t>9.76%</w:t>
            </w:r>
          </w:p>
        </w:tc>
        <w:tc>
          <w:tcPr>
            <w:tcW w:w="618" w:type="pct"/>
            <w:tcBorders>
              <w:top w:val="nil"/>
              <w:left w:val="nil"/>
              <w:bottom w:val="single" w:color="auto" w:sz="4" w:space="0"/>
              <w:right w:val="single" w:color="auto" w:sz="4" w:space="0"/>
            </w:tcBorders>
            <w:noWrap/>
            <w:vAlign w:val="center"/>
          </w:tcPr>
          <w:p>
            <w:pPr>
              <w:jc w:val="center"/>
            </w:pPr>
            <w:r>
              <w:t>205</w:t>
            </w:r>
          </w:p>
        </w:tc>
        <w:tc>
          <w:tcPr>
            <w:tcW w:w="514" w:type="pct"/>
            <w:tcBorders>
              <w:top w:val="nil"/>
              <w:left w:val="nil"/>
              <w:bottom w:val="single" w:color="auto" w:sz="4" w:space="0"/>
              <w:right w:val="single" w:color="auto" w:sz="4" w:space="0"/>
            </w:tcBorders>
            <w:noWrap/>
            <w:vAlign w:val="center"/>
          </w:tcPr>
          <w:p>
            <w:pPr>
              <w:jc w:val="center"/>
            </w:pPr>
            <w:r>
              <w:t>13.67</w:t>
            </w:r>
          </w:p>
        </w:tc>
        <w:tc>
          <w:tcPr>
            <w:tcW w:w="607" w:type="pct"/>
            <w:tcBorders>
              <w:top w:val="nil"/>
              <w:left w:val="nil"/>
              <w:bottom w:val="single" w:color="auto" w:sz="4" w:space="0"/>
              <w:right w:val="single" w:color="auto" w:sz="4" w:space="0"/>
            </w:tcBorders>
            <w:noWrap/>
            <w:vAlign w:val="center"/>
          </w:tcPr>
          <w:p>
            <w:pPr>
              <w:jc w:val="center"/>
            </w:pPr>
            <w:r>
              <w:t>192</w:t>
            </w:r>
          </w:p>
        </w:tc>
        <w:tc>
          <w:tcPr>
            <w:tcW w:w="525" w:type="pct"/>
            <w:tcBorders>
              <w:top w:val="nil"/>
              <w:left w:val="nil"/>
              <w:bottom w:val="single" w:color="auto" w:sz="4" w:space="0"/>
              <w:right w:val="single" w:color="auto" w:sz="4" w:space="0"/>
            </w:tcBorders>
            <w:noWrap/>
            <w:vAlign w:val="center"/>
          </w:tcPr>
          <w:p>
            <w:pPr>
              <w:jc w:val="center"/>
            </w:pPr>
            <w:r>
              <w:t>12.8</w:t>
            </w:r>
          </w:p>
        </w:tc>
        <w:tc>
          <w:tcPr>
            <w:tcW w:w="638" w:type="pct"/>
            <w:tcBorders>
              <w:top w:val="nil"/>
              <w:left w:val="nil"/>
              <w:bottom w:val="single" w:color="auto" w:sz="4" w:space="0"/>
              <w:right w:val="single" w:color="auto" w:sz="4" w:space="0"/>
            </w:tcBorders>
            <w:noWrap/>
            <w:vAlign w:val="center"/>
          </w:tcPr>
          <w:p>
            <w:pPr>
              <w:jc w:val="center"/>
            </w:pPr>
            <w:r>
              <w:t>-6.34%</w:t>
            </w:r>
          </w:p>
        </w:tc>
      </w:tr>
      <w:tr>
        <w:tblPrEx>
          <w:tblCellMar>
            <w:top w:w="0" w:type="dxa"/>
            <w:left w:w="108" w:type="dxa"/>
            <w:bottom w:w="0" w:type="dxa"/>
            <w:right w:w="108" w:type="dxa"/>
          </w:tblCellMar>
        </w:tblPrEx>
        <w:trPr>
          <w:trHeight w:val="405" w:hRule="atLeast"/>
        </w:trPr>
        <w:tc>
          <w:tcPr>
            <w:tcW w:w="370" w:type="pct"/>
            <w:tcBorders>
              <w:top w:val="nil"/>
              <w:left w:val="single" w:color="auto" w:sz="4" w:space="0"/>
              <w:bottom w:val="single" w:color="auto" w:sz="4" w:space="0"/>
              <w:right w:val="single" w:color="auto" w:sz="4" w:space="0"/>
            </w:tcBorders>
            <w:noWrap/>
            <w:vAlign w:val="center"/>
          </w:tcPr>
          <w:p>
            <w:pPr>
              <w:jc w:val="center"/>
            </w:pPr>
            <w:r>
              <w:t>Ⅲ级</w:t>
            </w:r>
          </w:p>
        </w:tc>
        <w:tc>
          <w:tcPr>
            <w:tcW w:w="616" w:type="pct"/>
            <w:tcBorders>
              <w:top w:val="nil"/>
              <w:left w:val="nil"/>
              <w:bottom w:val="single" w:color="auto" w:sz="4" w:space="0"/>
              <w:right w:val="single" w:color="auto" w:sz="4" w:space="0"/>
            </w:tcBorders>
            <w:noWrap/>
            <w:vAlign w:val="center"/>
          </w:tcPr>
          <w:p>
            <w:pPr>
              <w:jc w:val="center"/>
            </w:pPr>
            <w:r>
              <w:t>192</w:t>
            </w:r>
          </w:p>
        </w:tc>
        <w:tc>
          <w:tcPr>
            <w:tcW w:w="515" w:type="pct"/>
            <w:tcBorders>
              <w:top w:val="nil"/>
              <w:left w:val="nil"/>
              <w:bottom w:val="single" w:color="auto" w:sz="4" w:space="0"/>
              <w:right w:val="single" w:color="auto" w:sz="4" w:space="0"/>
            </w:tcBorders>
            <w:noWrap/>
            <w:vAlign w:val="center"/>
          </w:tcPr>
          <w:p>
            <w:pPr>
              <w:jc w:val="center"/>
            </w:pPr>
            <w:r>
              <w:t>12.8</w:t>
            </w:r>
          </w:p>
        </w:tc>
        <w:tc>
          <w:tcPr>
            <w:tcW w:w="593" w:type="pct"/>
            <w:tcBorders>
              <w:top w:val="nil"/>
              <w:left w:val="nil"/>
              <w:bottom w:val="single" w:color="auto" w:sz="4" w:space="0"/>
              <w:right w:val="single" w:color="auto" w:sz="4" w:space="0"/>
            </w:tcBorders>
            <w:noWrap/>
            <w:vAlign w:val="center"/>
          </w:tcPr>
          <w:p>
            <w:pPr>
              <w:jc w:val="center"/>
            </w:pPr>
            <w:r>
              <w:t>11.63%</w:t>
            </w:r>
          </w:p>
        </w:tc>
        <w:tc>
          <w:tcPr>
            <w:tcW w:w="618" w:type="pct"/>
            <w:tcBorders>
              <w:top w:val="nil"/>
              <w:left w:val="nil"/>
              <w:bottom w:val="single" w:color="auto" w:sz="4" w:space="0"/>
              <w:right w:val="single" w:color="auto" w:sz="4" w:space="0"/>
            </w:tcBorders>
            <w:noWrap/>
            <w:vAlign w:val="center"/>
          </w:tcPr>
          <w:p>
            <w:pPr>
              <w:jc w:val="center"/>
            </w:pPr>
            <w:r>
              <w:t>172</w:t>
            </w:r>
          </w:p>
        </w:tc>
        <w:tc>
          <w:tcPr>
            <w:tcW w:w="514" w:type="pct"/>
            <w:tcBorders>
              <w:top w:val="nil"/>
              <w:left w:val="nil"/>
              <w:bottom w:val="single" w:color="auto" w:sz="4" w:space="0"/>
              <w:right w:val="single" w:color="auto" w:sz="4" w:space="0"/>
            </w:tcBorders>
            <w:noWrap/>
            <w:vAlign w:val="center"/>
          </w:tcPr>
          <w:p>
            <w:pPr>
              <w:jc w:val="center"/>
            </w:pPr>
            <w:r>
              <w:t>11.47</w:t>
            </w:r>
          </w:p>
        </w:tc>
        <w:tc>
          <w:tcPr>
            <w:tcW w:w="607" w:type="pct"/>
            <w:tcBorders>
              <w:top w:val="nil"/>
              <w:left w:val="nil"/>
              <w:bottom w:val="single" w:color="auto" w:sz="4" w:space="0"/>
              <w:right w:val="single" w:color="auto" w:sz="4" w:space="0"/>
            </w:tcBorders>
            <w:noWrap/>
            <w:vAlign w:val="center"/>
          </w:tcPr>
          <w:p>
            <w:pPr>
              <w:jc w:val="center"/>
            </w:pPr>
            <w:r>
              <w:t>150</w:t>
            </w:r>
          </w:p>
        </w:tc>
        <w:tc>
          <w:tcPr>
            <w:tcW w:w="525" w:type="pct"/>
            <w:tcBorders>
              <w:top w:val="nil"/>
              <w:left w:val="nil"/>
              <w:bottom w:val="single" w:color="auto" w:sz="4" w:space="0"/>
              <w:right w:val="single" w:color="auto" w:sz="4" w:space="0"/>
            </w:tcBorders>
            <w:noWrap/>
            <w:vAlign w:val="center"/>
          </w:tcPr>
          <w:p>
            <w:pPr>
              <w:jc w:val="center"/>
            </w:pPr>
            <w:r>
              <w:t>10</w:t>
            </w:r>
          </w:p>
        </w:tc>
        <w:tc>
          <w:tcPr>
            <w:tcW w:w="638" w:type="pct"/>
            <w:tcBorders>
              <w:top w:val="nil"/>
              <w:left w:val="nil"/>
              <w:bottom w:val="single" w:color="auto" w:sz="4" w:space="0"/>
              <w:right w:val="single" w:color="auto" w:sz="4" w:space="0"/>
            </w:tcBorders>
            <w:noWrap/>
            <w:vAlign w:val="center"/>
          </w:tcPr>
          <w:p>
            <w:pPr>
              <w:jc w:val="center"/>
            </w:pPr>
            <w:r>
              <w:t>-12.79%</w:t>
            </w:r>
          </w:p>
        </w:tc>
      </w:tr>
    </w:tbl>
    <w:p>
      <w:pPr>
        <w:jc w:val="center"/>
        <w:rPr>
          <w:rFonts w:hint="eastAsia" w:ascii="仿宋_GB2312" w:hAnsi="仿宋_GB2312" w:eastAsia="仿宋_GB2312" w:cs="仿宋_GB2312"/>
          <w:sz w:val="32"/>
          <w:szCs w:val="32"/>
        </w:rPr>
      </w:pPr>
      <w:r>
        <w:rPr>
          <w:rFonts w:hint="eastAsia" w:ascii="仿宋_GB2312" w:hAnsi="仿宋_GB2312" w:eastAsia="仿宋_GB2312" w:cs="仿宋_GB2312"/>
          <w:sz w:val="32"/>
          <w:szCs w:val="32"/>
          <w:lang w:eastAsia="zh-CN"/>
        </w:rPr>
        <w:t>表</w:t>
      </w:r>
      <w:r>
        <w:rPr>
          <w:rFonts w:hint="eastAsia" w:ascii="仿宋_GB2312" w:hAnsi="仿宋_GB2312" w:eastAsia="仿宋_GB2312" w:cs="仿宋_GB2312"/>
          <w:sz w:val="32"/>
          <w:szCs w:val="32"/>
          <w:lang w:val="en-US" w:eastAsia="zh-CN"/>
        </w:rPr>
        <w:t>3</w:t>
      </w:r>
      <w:r>
        <w:rPr>
          <w:rFonts w:hint="eastAsia" w:ascii="仿宋_GB2312" w:hAnsi="仿宋_GB2312" w:eastAsia="仿宋_GB2312" w:cs="仿宋_GB2312"/>
          <w:sz w:val="32"/>
          <w:szCs w:val="32"/>
        </w:rPr>
        <w:t>阳高县集体工业用地基准地价区间表</w:t>
      </w:r>
    </w:p>
    <w:tbl>
      <w:tblPr>
        <w:tblStyle w:val="2"/>
        <w:tblW w:w="5000" w:type="pct"/>
        <w:tblInd w:w="0" w:type="dxa"/>
        <w:tblLayout w:type="autofit"/>
        <w:tblCellMar>
          <w:top w:w="0" w:type="dxa"/>
          <w:left w:w="108" w:type="dxa"/>
          <w:bottom w:w="0" w:type="dxa"/>
          <w:right w:w="108" w:type="dxa"/>
        </w:tblCellMar>
      </w:tblPr>
      <w:tblGrid>
        <w:gridCol w:w="741"/>
        <w:gridCol w:w="1127"/>
        <w:gridCol w:w="818"/>
        <w:gridCol w:w="936"/>
        <w:gridCol w:w="1127"/>
        <w:gridCol w:w="868"/>
        <w:gridCol w:w="1127"/>
        <w:gridCol w:w="818"/>
        <w:gridCol w:w="960"/>
      </w:tblGrid>
      <w:tr>
        <w:tblPrEx>
          <w:tblCellMar>
            <w:top w:w="0" w:type="dxa"/>
            <w:left w:w="108" w:type="dxa"/>
            <w:bottom w:w="0" w:type="dxa"/>
            <w:right w:w="108" w:type="dxa"/>
          </w:tblCellMar>
        </w:tblPrEx>
        <w:trPr>
          <w:trHeight w:val="405" w:hRule="atLeast"/>
        </w:trPr>
        <w:tc>
          <w:tcPr>
            <w:tcW w:w="556" w:type="pct"/>
            <w:vMerge w:val="restart"/>
            <w:tcBorders>
              <w:top w:val="single" w:color="auto" w:sz="4" w:space="0"/>
              <w:left w:val="single" w:color="auto" w:sz="4" w:space="0"/>
              <w:bottom w:val="single" w:color="auto" w:sz="4" w:space="0"/>
              <w:right w:val="single" w:color="auto" w:sz="4" w:space="0"/>
            </w:tcBorders>
            <w:noWrap/>
            <w:vAlign w:val="center"/>
          </w:tcPr>
          <w:p>
            <w:pPr>
              <w:jc w:val="center"/>
            </w:pPr>
            <w:r>
              <w:t>级别</w:t>
            </w:r>
          </w:p>
        </w:tc>
        <w:tc>
          <w:tcPr>
            <w:tcW w:w="1667" w:type="pct"/>
            <w:gridSpan w:val="3"/>
            <w:tcBorders>
              <w:top w:val="single" w:color="auto" w:sz="4" w:space="0"/>
              <w:left w:val="nil"/>
              <w:bottom w:val="single" w:color="auto" w:sz="4" w:space="0"/>
              <w:right w:val="single" w:color="auto" w:sz="4" w:space="0"/>
            </w:tcBorders>
            <w:noWrap/>
            <w:vAlign w:val="center"/>
          </w:tcPr>
          <w:p>
            <w:pPr>
              <w:jc w:val="center"/>
            </w:pPr>
            <w:r>
              <w:t>上限</w:t>
            </w:r>
          </w:p>
        </w:tc>
        <w:tc>
          <w:tcPr>
            <w:tcW w:w="1111" w:type="pct"/>
            <w:gridSpan w:val="2"/>
            <w:tcBorders>
              <w:top w:val="single" w:color="auto" w:sz="4" w:space="0"/>
              <w:left w:val="nil"/>
              <w:bottom w:val="single" w:color="auto" w:sz="4" w:space="0"/>
              <w:right w:val="single" w:color="auto" w:sz="4" w:space="0"/>
            </w:tcBorders>
            <w:noWrap/>
            <w:vAlign w:val="center"/>
          </w:tcPr>
          <w:p>
            <w:pPr>
              <w:jc w:val="center"/>
            </w:pPr>
            <w:r>
              <w:t>基准地价</w:t>
            </w:r>
          </w:p>
        </w:tc>
        <w:tc>
          <w:tcPr>
            <w:tcW w:w="1667" w:type="pct"/>
            <w:gridSpan w:val="3"/>
            <w:tcBorders>
              <w:top w:val="single" w:color="auto" w:sz="4" w:space="0"/>
              <w:left w:val="nil"/>
              <w:bottom w:val="single" w:color="auto" w:sz="4" w:space="0"/>
              <w:right w:val="single" w:color="auto" w:sz="4" w:space="0"/>
            </w:tcBorders>
            <w:noWrap/>
            <w:vAlign w:val="center"/>
          </w:tcPr>
          <w:p>
            <w:pPr>
              <w:jc w:val="center"/>
            </w:pPr>
            <w:r>
              <w:t>下限</w:t>
            </w:r>
          </w:p>
        </w:tc>
      </w:tr>
      <w:tr>
        <w:tblPrEx>
          <w:tblCellMar>
            <w:top w:w="0" w:type="dxa"/>
            <w:left w:w="108" w:type="dxa"/>
            <w:bottom w:w="0" w:type="dxa"/>
            <w:right w:w="108" w:type="dxa"/>
          </w:tblCellMar>
        </w:tblPrEx>
        <w:trPr>
          <w:trHeight w:val="405" w:hRule="atLeast"/>
        </w:trPr>
        <w:tc>
          <w:tcPr>
            <w:tcW w:w="0" w:type="auto"/>
            <w:vMerge w:val="continue"/>
            <w:tcBorders>
              <w:top w:val="single" w:color="auto" w:sz="4" w:space="0"/>
              <w:left w:val="single" w:color="auto" w:sz="4" w:space="0"/>
              <w:bottom w:val="single" w:color="auto" w:sz="4" w:space="0"/>
              <w:right w:val="single" w:color="auto" w:sz="4" w:space="0"/>
            </w:tcBorders>
            <w:noWrap w:val="0"/>
            <w:vAlign w:val="center"/>
          </w:tcPr>
          <w:p>
            <w:pPr>
              <w:jc w:val="center"/>
            </w:pPr>
          </w:p>
        </w:tc>
        <w:tc>
          <w:tcPr>
            <w:tcW w:w="419" w:type="pct"/>
            <w:tcBorders>
              <w:top w:val="nil"/>
              <w:left w:val="nil"/>
              <w:bottom w:val="single" w:color="auto" w:sz="4" w:space="0"/>
              <w:right w:val="single" w:color="auto" w:sz="4" w:space="0"/>
            </w:tcBorders>
            <w:noWrap/>
            <w:vAlign w:val="center"/>
          </w:tcPr>
          <w:p>
            <w:pPr>
              <w:jc w:val="center"/>
              <w:rPr>
                <w:sz w:val="18"/>
                <w:szCs w:val="21"/>
              </w:rPr>
            </w:pPr>
            <w:r>
              <w:t>元/</w:t>
            </w:r>
            <w:r>
              <w:rPr>
                <w:rFonts w:hint="eastAsia"/>
                <w:lang w:eastAsia="zh-CN"/>
              </w:rPr>
              <w:t>平方米</w:t>
            </w:r>
          </w:p>
        </w:tc>
        <w:tc>
          <w:tcPr>
            <w:tcW w:w="562" w:type="pct"/>
            <w:tcBorders>
              <w:top w:val="nil"/>
              <w:left w:val="nil"/>
              <w:bottom w:val="single" w:color="auto" w:sz="4" w:space="0"/>
              <w:right w:val="single" w:color="auto" w:sz="4" w:space="0"/>
            </w:tcBorders>
            <w:noWrap/>
            <w:vAlign w:val="center"/>
          </w:tcPr>
          <w:p>
            <w:pPr>
              <w:jc w:val="center"/>
              <w:rPr>
                <w:sz w:val="18"/>
                <w:szCs w:val="21"/>
              </w:rPr>
            </w:pPr>
            <w:r>
              <w:rPr>
                <w:sz w:val="18"/>
                <w:szCs w:val="21"/>
              </w:rPr>
              <w:t>万元/亩</w:t>
            </w:r>
          </w:p>
        </w:tc>
        <w:tc>
          <w:tcPr>
            <w:tcW w:w="685" w:type="pct"/>
            <w:tcBorders>
              <w:top w:val="nil"/>
              <w:left w:val="nil"/>
              <w:bottom w:val="single" w:color="auto" w:sz="4" w:space="0"/>
              <w:right w:val="single" w:color="auto" w:sz="4" w:space="0"/>
            </w:tcBorders>
            <w:noWrap/>
            <w:vAlign w:val="center"/>
          </w:tcPr>
          <w:p>
            <w:pPr>
              <w:jc w:val="center"/>
              <w:rPr>
                <w:sz w:val="18"/>
                <w:szCs w:val="21"/>
              </w:rPr>
            </w:pPr>
            <w:r>
              <w:rPr>
                <w:sz w:val="18"/>
                <w:szCs w:val="21"/>
              </w:rPr>
              <w:t>上调幅度</w:t>
            </w:r>
          </w:p>
        </w:tc>
        <w:tc>
          <w:tcPr>
            <w:tcW w:w="475" w:type="pct"/>
            <w:tcBorders>
              <w:top w:val="nil"/>
              <w:left w:val="nil"/>
              <w:bottom w:val="single" w:color="auto" w:sz="4" w:space="0"/>
              <w:right w:val="single" w:color="auto" w:sz="4" w:space="0"/>
            </w:tcBorders>
            <w:noWrap/>
            <w:vAlign w:val="center"/>
          </w:tcPr>
          <w:p>
            <w:pPr>
              <w:jc w:val="center"/>
              <w:rPr>
                <w:sz w:val="18"/>
                <w:szCs w:val="21"/>
              </w:rPr>
            </w:pPr>
            <w:r>
              <w:t>元/</w:t>
            </w:r>
            <w:r>
              <w:rPr>
                <w:rFonts w:hint="eastAsia"/>
                <w:lang w:eastAsia="zh-CN"/>
              </w:rPr>
              <w:t>平方米</w:t>
            </w:r>
          </w:p>
        </w:tc>
        <w:tc>
          <w:tcPr>
            <w:tcW w:w="636" w:type="pct"/>
            <w:tcBorders>
              <w:top w:val="nil"/>
              <w:left w:val="nil"/>
              <w:bottom w:val="single" w:color="auto" w:sz="4" w:space="0"/>
              <w:right w:val="single" w:color="auto" w:sz="4" w:space="0"/>
            </w:tcBorders>
            <w:noWrap/>
            <w:vAlign w:val="center"/>
          </w:tcPr>
          <w:p>
            <w:pPr>
              <w:jc w:val="center"/>
              <w:rPr>
                <w:sz w:val="18"/>
                <w:szCs w:val="21"/>
              </w:rPr>
            </w:pPr>
            <w:r>
              <w:rPr>
                <w:sz w:val="18"/>
                <w:szCs w:val="21"/>
              </w:rPr>
              <w:t>万元/亩</w:t>
            </w:r>
          </w:p>
        </w:tc>
        <w:tc>
          <w:tcPr>
            <w:tcW w:w="419" w:type="pct"/>
            <w:tcBorders>
              <w:top w:val="nil"/>
              <w:left w:val="nil"/>
              <w:bottom w:val="single" w:color="auto" w:sz="4" w:space="0"/>
              <w:right w:val="single" w:color="auto" w:sz="4" w:space="0"/>
            </w:tcBorders>
            <w:noWrap/>
            <w:vAlign w:val="center"/>
          </w:tcPr>
          <w:p>
            <w:pPr>
              <w:jc w:val="center"/>
              <w:rPr>
                <w:sz w:val="18"/>
                <w:szCs w:val="21"/>
              </w:rPr>
            </w:pPr>
            <w:r>
              <w:t>元/</w:t>
            </w:r>
            <w:r>
              <w:rPr>
                <w:rFonts w:hint="eastAsia"/>
                <w:lang w:eastAsia="zh-CN"/>
              </w:rPr>
              <w:t>平方米</w:t>
            </w:r>
          </w:p>
        </w:tc>
        <w:tc>
          <w:tcPr>
            <w:tcW w:w="562" w:type="pct"/>
            <w:tcBorders>
              <w:top w:val="nil"/>
              <w:left w:val="nil"/>
              <w:bottom w:val="single" w:color="auto" w:sz="4" w:space="0"/>
              <w:right w:val="single" w:color="auto" w:sz="4" w:space="0"/>
            </w:tcBorders>
            <w:noWrap/>
            <w:vAlign w:val="center"/>
          </w:tcPr>
          <w:p>
            <w:pPr>
              <w:jc w:val="center"/>
              <w:rPr>
                <w:sz w:val="18"/>
                <w:szCs w:val="21"/>
              </w:rPr>
            </w:pPr>
            <w:r>
              <w:rPr>
                <w:sz w:val="18"/>
                <w:szCs w:val="21"/>
              </w:rPr>
              <w:t>万元/亩</w:t>
            </w:r>
          </w:p>
        </w:tc>
        <w:tc>
          <w:tcPr>
            <w:tcW w:w="685" w:type="pct"/>
            <w:tcBorders>
              <w:top w:val="nil"/>
              <w:left w:val="nil"/>
              <w:bottom w:val="single" w:color="auto" w:sz="4" w:space="0"/>
              <w:right w:val="single" w:color="auto" w:sz="4" w:space="0"/>
            </w:tcBorders>
            <w:noWrap/>
            <w:vAlign w:val="center"/>
          </w:tcPr>
          <w:p>
            <w:pPr>
              <w:jc w:val="center"/>
              <w:rPr>
                <w:sz w:val="18"/>
                <w:szCs w:val="21"/>
              </w:rPr>
            </w:pPr>
            <w:r>
              <w:rPr>
                <w:sz w:val="18"/>
                <w:szCs w:val="21"/>
              </w:rPr>
              <w:t>下调幅度</w:t>
            </w:r>
          </w:p>
        </w:tc>
      </w:tr>
      <w:tr>
        <w:tblPrEx>
          <w:tblCellMar>
            <w:top w:w="0" w:type="dxa"/>
            <w:left w:w="108" w:type="dxa"/>
            <w:bottom w:w="0" w:type="dxa"/>
            <w:right w:w="108" w:type="dxa"/>
          </w:tblCellMar>
        </w:tblPrEx>
        <w:trPr>
          <w:trHeight w:val="405" w:hRule="atLeast"/>
        </w:trPr>
        <w:tc>
          <w:tcPr>
            <w:tcW w:w="556" w:type="pct"/>
            <w:tcBorders>
              <w:top w:val="nil"/>
              <w:left w:val="single" w:color="auto" w:sz="4" w:space="0"/>
              <w:bottom w:val="single" w:color="auto" w:sz="4" w:space="0"/>
              <w:right w:val="single" w:color="auto" w:sz="4" w:space="0"/>
            </w:tcBorders>
            <w:noWrap/>
            <w:vAlign w:val="center"/>
          </w:tcPr>
          <w:p>
            <w:pPr>
              <w:jc w:val="center"/>
            </w:pPr>
            <w:r>
              <w:t>Ⅰ级</w:t>
            </w:r>
          </w:p>
        </w:tc>
        <w:tc>
          <w:tcPr>
            <w:tcW w:w="419" w:type="pct"/>
            <w:tcBorders>
              <w:top w:val="nil"/>
              <w:left w:val="nil"/>
              <w:bottom w:val="single" w:color="auto" w:sz="4" w:space="0"/>
              <w:right w:val="single" w:color="auto" w:sz="4" w:space="0"/>
            </w:tcBorders>
            <w:noWrap/>
            <w:vAlign w:val="center"/>
          </w:tcPr>
          <w:p>
            <w:pPr>
              <w:jc w:val="center"/>
            </w:pPr>
            <w:r>
              <w:t>170</w:t>
            </w:r>
          </w:p>
        </w:tc>
        <w:tc>
          <w:tcPr>
            <w:tcW w:w="562" w:type="pct"/>
            <w:tcBorders>
              <w:top w:val="nil"/>
              <w:left w:val="nil"/>
              <w:bottom w:val="single" w:color="auto" w:sz="4" w:space="0"/>
              <w:right w:val="single" w:color="auto" w:sz="4" w:space="0"/>
            </w:tcBorders>
            <w:noWrap/>
            <w:vAlign w:val="center"/>
          </w:tcPr>
          <w:p>
            <w:pPr>
              <w:jc w:val="center"/>
            </w:pPr>
            <w:r>
              <w:t>11.33</w:t>
            </w:r>
          </w:p>
        </w:tc>
        <w:tc>
          <w:tcPr>
            <w:tcW w:w="685" w:type="pct"/>
            <w:tcBorders>
              <w:top w:val="nil"/>
              <w:left w:val="nil"/>
              <w:bottom w:val="single" w:color="auto" w:sz="4" w:space="0"/>
              <w:right w:val="single" w:color="auto" w:sz="4" w:space="0"/>
            </w:tcBorders>
            <w:noWrap/>
            <w:vAlign w:val="center"/>
          </w:tcPr>
          <w:p>
            <w:pPr>
              <w:jc w:val="center"/>
            </w:pPr>
            <w:r>
              <w:t>6.92%</w:t>
            </w:r>
          </w:p>
        </w:tc>
        <w:tc>
          <w:tcPr>
            <w:tcW w:w="475" w:type="pct"/>
            <w:tcBorders>
              <w:top w:val="nil"/>
              <w:left w:val="nil"/>
              <w:bottom w:val="single" w:color="auto" w:sz="4" w:space="0"/>
              <w:right w:val="single" w:color="auto" w:sz="4" w:space="0"/>
            </w:tcBorders>
            <w:noWrap/>
            <w:vAlign w:val="center"/>
          </w:tcPr>
          <w:p>
            <w:pPr>
              <w:jc w:val="center"/>
            </w:pPr>
            <w:r>
              <w:t>159</w:t>
            </w:r>
          </w:p>
        </w:tc>
        <w:tc>
          <w:tcPr>
            <w:tcW w:w="636" w:type="pct"/>
            <w:tcBorders>
              <w:top w:val="nil"/>
              <w:left w:val="nil"/>
              <w:bottom w:val="single" w:color="auto" w:sz="4" w:space="0"/>
              <w:right w:val="single" w:color="auto" w:sz="4" w:space="0"/>
            </w:tcBorders>
            <w:noWrap/>
            <w:vAlign w:val="center"/>
          </w:tcPr>
          <w:p>
            <w:pPr>
              <w:jc w:val="center"/>
            </w:pPr>
            <w:r>
              <w:t>10.60</w:t>
            </w:r>
          </w:p>
        </w:tc>
        <w:tc>
          <w:tcPr>
            <w:tcW w:w="419" w:type="pct"/>
            <w:tcBorders>
              <w:top w:val="nil"/>
              <w:left w:val="nil"/>
              <w:bottom w:val="single" w:color="auto" w:sz="4" w:space="0"/>
              <w:right w:val="single" w:color="auto" w:sz="4" w:space="0"/>
            </w:tcBorders>
            <w:noWrap/>
            <w:vAlign w:val="center"/>
          </w:tcPr>
          <w:p>
            <w:pPr>
              <w:jc w:val="center"/>
            </w:pPr>
            <w:r>
              <w:t>146</w:t>
            </w:r>
          </w:p>
        </w:tc>
        <w:tc>
          <w:tcPr>
            <w:tcW w:w="562" w:type="pct"/>
            <w:tcBorders>
              <w:top w:val="nil"/>
              <w:left w:val="nil"/>
              <w:bottom w:val="single" w:color="auto" w:sz="4" w:space="0"/>
              <w:right w:val="single" w:color="auto" w:sz="4" w:space="0"/>
            </w:tcBorders>
            <w:noWrap/>
            <w:vAlign w:val="center"/>
          </w:tcPr>
          <w:p>
            <w:pPr>
              <w:jc w:val="center"/>
            </w:pPr>
            <w:r>
              <w:t>9.73</w:t>
            </w:r>
          </w:p>
        </w:tc>
        <w:tc>
          <w:tcPr>
            <w:tcW w:w="685" w:type="pct"/>
            <w:tcBorders>
              <w:top w:val="nil"/>
              <w:left w:val="nil"/>
              <w:bottom w:val="single" w:color="auto" w:sz="4" w:space="0"/>
              <w:right w:val="single" w:color="auto" w:sz="4" w:space="0"/>
            </w:tcBorders>
            <w:noWrap/>
            <w:vAlign w:val="center"/>
          </w:tcPr>
          <w:p>
            <w:pPr>
              <w:jc w:val="center"/>
            </w:pPr>
            <w:r>
              <w:t>-8.18%</w:t>
            </w:r>
          </w:p>
        </w:tc>
      </w:tr>
      <w:tr>
        <w:tblPrEx>
          <w:tblCellMar>
            <w:top w:w="0" w:type="dxa"/>
            <w:left w:w="108" w:type="dxa"/>
            <w:bottom w:w="0" w:type="dxa"/>
            <w:right w:w="108" w:type="dxa"/>
          </w:tblCellMar>
        </w:tblPrEx>
        <w:trPr>
          <w:trHeight w:val="405" w:hRule="atLeast"/>
        </w:trPr>
        <w:tc>
          <w:tcPr>
            <w:tcW w:w="556" w:type="pct"/>
            <w:tcBorders>
              <w:top w:val="nil"/>
              <w:left w:val="single" w:color="auto" w:sz="4" w:space="0"/>
              <w:bottom w:val="single" w:color="auto" w:sz="4" w:space="0"/>
              <w:right w:val="single" w:color="auto" w:sz="4" w:space="0"/>
            </w:tcBorders>
            <w:noWrap/>
            <w:vAlign w:val="center"/>
          </w:tcPr>
          <w:p>
            <w:pPr>
              <w:jc w:val="center"/>
            </w:pPr>
            <w:r>
              <w:t>Ⅱ级</w:t>
            </w:r>
          </w:p>
        </w:tc>
        <w:tc>
          <w:tcPr>
            <w:tcW w:w="419" w:type="pct"/>
            <w:tcBorders>
              <w:top w:val="nil"/>
              <w:left w:val="nil"/>
              <w:bottom w:val="single" w:color="auto" w:sz="4" w:space="0"/>
              <w:right w:val="single" w:color="auto" w:sz="4" w:space="0"/>
            </w:tcBorders>
            <w:noWrap/>
            <w:vAlign w:val="center"/>
          </w:tcPr>
          <w:p>
            <w:pPr>
              <w:jc w:val="center"/>
            </w:pPr>
            <w:r>
              <w:t>146</w:t>
            </w:r>
          </w:p>
        </w:tc>
        <w:tc>
          <w:tcPr>
            <w:tcW w:w="562" w:type="pct"/>
            <w:tcBorders>
              <w:top w:val="nil"/>
              <w:left w:val="nil"/>
              <w:bottom w:val="single" w:color="auto" w:sz="4" w:space="0"/>
              <w:right w:val="single" w:color="auto" w:sz="4" w:space="0"/>
            </w:tcBorders>
            <w:noWrap/>
            <w:vAlign w:val="center"/>
          </w:tcPr>
          <w:p>
            <w:pPr>
              <w:jc w:val="center"/>
            </w:pPr>
            <w:r>
              <w:t>9.73</w:t>
            </w:r>
          </w:p>
        </w:tc>
        <w:tc>
          <w:tcPr>
            <w:tcW w:w="685" w:type="pct"/>
            <w:tcBorders>
              <w:top w:val="nil"/>
              <w:left w:val="nil"/>
              <w:bottom w:val="single" w:color="auto" w:sz="4" w:space="0"/>
              <w:right w:val="single" w:color="auto" w:sz="4" w:space="0"/>
            </w:tcBorders>
            <w:noWrap/>
            <w:vAlign w:val="center"/>
          </w:tcPr>
          <w:p>
            <w:pPr>
              <w:jc w:val="center"/>
            </w:pPr>
            <w:r>
              <w:t>8.15%</w:t>
            </w:r>
          </w:p>
        </w:tc>
        <w:tc>
          <w:tcPr>
            <w:tcW w:w="475" w:type="pct"/>
            <w:tcBorders>
              <w:top w:val="nil"/>
              <w:left w:val="nil"/>
              <w:bottom w:val="single" w:color="auto" w:sz="4" w:space="0"/>
              <w:right w:val="single" w:color="auto" w:sz="4" w:space="0"/>
            </w:tcBorders>
            <w:noWrap/>
            <w:vAlign w:val="center"/>
          </w:tcPr>
          <w:p>
            <w:pPr>
              <w:jc w:val="center"/>
            </w:pPr>
            <w:r>
              <w:t>135</w:t>
            </w:r>
          </w:p>
        </w:tc>
        <w:tc>
          <w:tcPr>
            <w:tcW w:w="636" w:type="pct"/>
            <w:tcBorders>
              <w:top w:val="nil"/>
              <w:left w:val="nil"/>
              <w:bottom w:val="single" w:color="auto" w:sz="4" w:space="0"/>
              <w:right w:val="single" w:color="auto" w:sz="4" w:space="0"/>
            </w:tcBorders>
            <w:noWrap/>
            <w:vAlign w:val="center"/>
          </w:tcPr>
          <w:p>
            <w:pPr>
              <w:jc w:val="center"/>
            </w:pPr>
            <w:r>
              <w:t>9.00</w:t>
            </w:r>
          </w:p>
        </w:tc>
        <w:tc>
          <w:tcPr>
            <w:tcW w:w="419" w:type="pct"/>
            <w:tcBorders>
              <w:top w:val="nil"/>
              <w:left w:val="nil"/>
              <w:bottom w:val="single" w:color="auto" w:sz="4" w:space="0"/>
              <w:right w:val="single" w:color="auto" w:sz="4" w:space="0"/>
            </w:tcBorders>
            <w:noWrap/>
            <w:vAlign w:val="center"/>
          </w:tcPr>
          <w:p>
            <w:pPr>
              <w:jc w:val="center"/>
            </w:pPr>
            <w:r>
              <w:t>123</w:t>
            </w:r>
          </w:p>
        </w:tc>
        <w:tc>
          <w:tcPr>
            <w:tcW w:w="562" w:type="pct"/>
            <w:tcBorders>
              <w:top w:val="nil"/>
              <w:left w:val="nil"/>
              <w:bottom w:val="single" w:color="auto" w:sz="4" w:space="0"/>
              <w:right w:val="single" w:color="auto" w:sz="4" w:space="0"/>
            </w:tcBorders>
            <w:noWrap/>
            <w:vAlign w:val="center"/>
          </w:tcPr>
          <w:p>
            <w:pPr>
              <w:jc w:val="center"/>
            </w:pPr>
            <w:r>
              <w:t>8.20</w:t>
            </w:r>
          </w:p>
        </w:tc>
        <w:tc>
          <w:tcPr>
            <w:tcW w:w="685" w:type="pct"/>
            <w:tcBorders>
              <w:top w:val="nil"/>
              <w:left w:val="nil"/>
              <w:bottom w:val="single" w:color="auto" w:sz="4" w:space="0"/>
              <w:right w:val="single" w:color="auto" w:sz="4" w:space="0"/>
            </w:tcBorders>
            <w:noWrap/>
            <w:vAlign w:val="center"/>
          </w:tcPr>
          <w:p>
            <w:pPr>
              <w:jc w:val="center"/>
            </w:pPr>
            <w:r>
              <w:t>-8.89%</w:t>
            </w:r>
          </w:p>
        </w:tc>
      </w:tr>
      <w:tr>
        <w:tblPrEx>
          <w:tblCellMar>
            <w:top w:w="0" w:type="dxa"/>
            <w:left w:w="108" w:type="dxa"/>
            <w:bottom w:w="0" w:type="dxa"/>
            <w:right w:w="108" w:type="dxa"/>
          </w:tblCellMar>
        </w:tblPrEx>
        <w:trPr>
          <w:trHeight w:val="405" w:hRule="atLeast"/>
        </w:trPr>
        <w:tc>
          <w:tcPr>
            <w:tcW w:w="556" w:type="pct"/>
            <w:tcBorders>
              <w:top w:val="nil"/>
              <w:left w:val="single" w:color="auto" w:sz="4" w:space="0"/>
              <w:bottom w:val="single" w:color="auto" w:sz="4" w:space="0"/>
              <w:right w:val="single" w:color="auto" w:sz="4" w:space="0"/>
            </w:tcBorders>
            <w:noWrap/>
            <w:vAlign w:val="center"/>
          </w:tcPr>
          <w:p>
            <w:pPr>
              <w:jc w:val="center"/>
            </w:pPr>
            <w:r>
              <w:t>Ⅲ级</w:t>
            </w:r>
          </w:p>
        </w:tc>
        <w:tc>
          <w:tcPr>
            <w:tcW w:w="419" w:type="pct"/>
            <w:tcBorders>
              <w:top w:val="nil"/>
              <w:left w:val="nil"/>
              <w:bottom w:val="single" w:color="auto" w:sz="4" w:space="0"/>
              <w:right w:val="single" w:color="auto" w:sz="4" w:space="0"/>
            </w:tcBorders>
            <w:noWrap/>
            <w:vAlign w:val="center"/>
          </w:tcPr>
          <w:p>
            <w:pPr>
              <w:jc w:val="center"/>
            </w:pPr>
            <w:r>
              <w:t>123</w:t>
            </w:r>
          </w:p>
        </w:tc>
        <w:tc>
          <w:tcPr>
            <w:tcW w:w="562" w:type="pct"/>
            <w:tcBorders>
              <w:top w:val="nil"/>
              <w:left w:val="nil"/>
              <w:bottom w:val="single" w:color="auto" w:sz="4" w:space="0"/>
              <w:right w:val="single" w:color="auto" w:sz="4" w:space="0"/>
            </w:tcBorders>
            <w:noWrap/>
            <w:vAlign w:val="center"/>
          </w:tcPr>
          <w:p>
            <w:pPr>
              <w:jc w:val="center"/>
            </w:pPr>
            <w:r>
              <w:t>8.20</w:t>
            </w:r>
          </w:p>
        </w:tc>
        <w:tc>
          <w:tcPr>
            <w:tcW w:w="685" w:type="pct"/>
            <w:tcBorders>
              <w:top w:val="nil"/>
              <w:left w:val="nil"/>
              <w:bottom w:val="single" w:color="auto" w:sz="4" w:space="0"/>
              <w:right w:val="single" w:color="auto" w:sz="4" w:space="0"/>
            </w:tcBorders>
            <w:noWrap/>
            <w:vAlign w:val="center"/>
          </w:tcPr>
          <w:p>
            <w:pPr>
              <w:jc w:val="center"/>
            </w:pPr>
            <w:r>
              <w:t>6.96%</w:t>
            </w:r>
          </w:p>
        </w:tc>
        <w:tc>
          <w:tcPr>
            <w:tcW w:w="475" w:type="pct"/>
            <w:tcBorders>
              <w:top w:val="nil"/>
              <w:left w:val="nil"/>
              <w:bottom w:val="single" w:color="auto" w:sz="4" w:space="0"/>
              <w:right w:val="single" w:color="auto" w:sz="4" w:space="0"/>
            </w:tcBorders>
            <w:noWrap/>
            <w:vAlign w:val="center"/>
          </w:tcPr>
          <w:p>
            <w:pPr>
              <w:jc w:val="center"/>
            </w:pPr>
            <w:r>
              <w:t>115</w:t>
            </w:r>
          </w:p>
        </w:tc>
        <w:tc>
          <w:tcPr>
            <w:tcW w:w="636" w:type="pct"/>
            <w:tcBorders>
              <w:top w:val="nil"/>
              <w:left w:val="nil"/>
              <w:bottom w:val="single" w:color="auto" w:sz="4" w:space="0"/>
              <w:right w:val="single" w:color="auto" w:sz="4" w:space="0"/>
            </w:tcBorders>
            <w:noWrap/>
            <w:vAlign w:val="center"/>
          </w:tcPr>
          <w:p>
            <w:pPr>
              <w:jc w:val="center"/>
            </w:pPr>
            <w:r>
              <w:t>7.67</w:t>
            </w:r>
          </w:p>
        </w:tc>
        <w:tc>
          <w:tcPr>
            <w:tcW w:w="419" w:type="pct"/>
            <w:tcBorders>
              <w:top w:val="nil"/>
              <w:left w:val="nil"/>
              <w:bottom w:val="single" w:color="auto" w:sz="4" w:space="0"/>
              <w:right w:val="single" w:color="auto" w:sz="4" w:space="0"/>
            </w:tcBorders>
            <w:noWrap/>
            <w:vAlign w:val="center"/>
          </w:tcPr>
          <w:p>
            <w:pPr>
              <w:jc w:val="center"/>
            </w:pPr>
            <w:r>
              <w:t>105</w:t>
            </w:r>
          </w:p>
        </w:tc>
        <w:tc>
          <w:tcPr>
            <w:tcW w:w="562" w:type="pct"/>
            <w:tcBorders>
              <w:top w:val="nil"/>
              <w:left w:val="nil"/>
              <w:bottom w:val="single" w:color="auto" w:sz="4" w:space="0"/>
              <w:right w:val="single" w:color="auto" w:sz="4" w:space="0"/>
            </w:tcBorders>
            <w:noWrap/>
            <w:vAlign w:val="center"/>
          </w:tcPr>
          <w:p>
            <w:pPr>
              <w:jc w:val="center"/>
            </w:pPr>
            <w:r>
              <w:t>7.00</w:t>
            </w:r>
          </w:p>
        </w:tc>
        <w:tc>
          <w:tcPr>
            <w:tcW w:w="685" w:type="pct"/>
            <w:tcBorders>
              <w:top w:val="nil"/>
              <w:left w:val="nil"/>
              <w:bottom w:val="single" w:color="auto" w:sz="4" w:space="0"/>
              <w:right w:val="single" w:color="auto" w:sz="4" w:space="0"/>
            </w:tcBorders>
            <w:noWrap/>
            <w:vAlign w:val="center"/>
          </w:tcPr>
          <w:p>
            <w:pPr>
              <w:jc w:val="center"/>
            </w:pPr>
            <w:r>
              <w:t>-8.70%</w:t>
            </w:r>
          </w:p>
        </w:tc>
      </w:tr>
    </w:tbl>
    <w:p/>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altName w:val="方正书宋_GBK"/>
    <w:panose1 w:val="00000000000000000000"/>
    <w:charset w:val="00"/>
    <w:family w:val="auto"/>
    <w:pitch w:val="default"/>
    <w:sig w:usb0="00000000" w:usb1="00000000" w:usb2="00000000" w:usb3="00000000" w:csb0="00000000" w:csb1="00000000"/>
  </w:font>
  <w:font w:name="Wingdings">
    <w:altName w:val="MathJax_Vector"/>
    <w:panose1 w:val="05000000000000000000"/>
    <w:charset w:val="02"/>
    <w:family w:val="auto"/>
    <w:pitch w:val="default"/>
    <w:sig w:usb0="00000000" w:usb1="00000000" w:usb2="00000000" w:usb3="00000000" w:csb0="80000000" w:csb1="00000000"/>
  </w:font>
  <w:font w:name="Arial">
    <w:altName w:val="DejaVu Sans"/>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altName w:val="DejaVu Sans"/>
    <w:panose1 w:val="02070309020205020404"/>
    <w:charset w:val="01"/>
    <w:family w:val="modern"/>
    <w:pitch w:val="default"/>
    <w:sig w:usb0="E0002AFF" w:usb1="C0007843" w:usb2="00000009" w:usb3="00000000" w:csb0="400001FF" w:csb1="FFFF0000"/>
  </w:font>
  <w:font w:name="Symbol">
    <w:altName w:val="MathJax_Vector"/>
    <w:panose1 w:val="05050102010706020507"/>
    <w:charset w:val="02"/>
    <w:family w:val="roman"/>
    <w:pitch w:val="default"/>
    <w:sig w:usb0="00000000" w:usb1="00000000" w:usb2="00000000" w:usb3="00000000" w:csb0="80000000" w:csb1="00000000"/>
  </w:font>
  <w:font w:name="DejaVu Sans">
    <w:panose1 w:val="020B0603030804020204"/>
    <w:charset w:val="00"/>
    <w:family w:val="auto"/>
    <w:pitch w:val="default"/>
    <w:sig w:usb0="E7006EFF" w:usb1="D200FDFF" w:usb2="0A246029" w:usb3="0400200C" w:csb0="600001FF" w:csb1="DFFF0000"/>
  </w:font>
  <w:font w:name="Calibri">
    <w:altName w:val="DejaVu Sans"/>
    <w:panose1 w:val="020F0502020204030204"/>
    <w:charset w:val="00"/>
    <w:family w:val="swiss"/>
    <w:pitch w:val="default"/>
    <w:sig w:usb0="00000000" w:usb1="00000000" w:usb2="00000001" w:usb3="00000000" w:csb0="0000019F" w:csb1="00000000"/>
  </w:font>
  <w:font w:name="方正书宋_GBK">
    <w:panose1 w:val="02000000000000000000"/>
    <w:charset w:val="86"/>
    <w:family w:val="auto"/>
    <w:pitch w:val="default"/>
    <w:sig w:usb0="00000001" w:usb1="08000000" w:usb2="00000000" w:usb3="00000000" w:csb0="00040000" w:csb1="00000000"/>
  </w:font>
  <w:font w:name="方正小标宋简体">
    <w:panose1 w:val="02000000000000000000"/>
    <w:charset w:val="86"/>
    <w:family w:val="auto"/>
    <w:pitch w:val="default"/>
    <w:sig w:usb0="A00002BF" w:usb1="184F6CFA" w:usb2="00000012" w:usb3="00000000" w:csb0="00040001" w:csb1="00000000"/>
  </w:font>
  <w:font w:name="仿宋_GB2312">
    <w:panose1 w:val="02010609030101010101"/>
    <w:charset w:val="86"/>
    <w:family w:val="auto"/>
    <w:pitch w:val="default"/>
    <w:sig w:usb0="00000001" w:usb1="080E0000" w:usb2="00000000" w:usb3="00000000" w:csb0="00040000" w:csb1="00000000"/>
  </w:font>
  <w:font w:name="楷体_GB2312">
    <w:panose1 w:val="02010609030101010101"/>
    <w:charset w:val="86"/>
    <w:family w:val="auto"/>
    <w:pitch w:val="default"/>
    <w:sig w:usb0="00000001" w:usb1="080E0000" w:usb2="00000000" w:usb3="00000000" w:csb0="00040000"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3A3E7DDC"/>
    <w:rsid w:val="3A3E7DDC"/>
    <w:rsid w:val="73B7B2CF"/>
    <w:rsid w:val="7FFD486A"/>
    <w:rsid w:val="98FCCB98"/>
    <w:rsid w:val="F3679C49"/>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character" w:default="1" w:styleId="3">
    <w:name w:val="Default Paragraph Font"/>
    <w:semiHidden/>
    <w:qFormat/>
    <w:uiPriority w:val="0"/>
  </w:style>
  <w:style w:type="table" w:default="1" w:styleId="2">
    <w:name w:val="Normal Table"/>
    <w:semiHidden/>
    <w:qFormat/>
    <w:uiPriority w:val="0"/>
    <w:tblPr>
      <w:tblCellMar>
        <w:top w:w="0" w:type="dxa"/>
        <w:left w:w="108" w:type="dxa"/>
        <w:bottom w:w="0" w:type="dxa"/>
        <w:right w:w="108" w:type="dxa"/>
      </w:tblCellMar>
    </w:tbl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1</Pages>
  <Words>0</Words>
  <Characters>0</Characters>
  <Lines>0</Lines>
  <Paragraphs>0</Paragraphs>
  <TotalTime>1</TotalTime>
  <ScaleCrop>false</ScaleCrop>
  <LinksUpToDate>false</LinksUpToDate>
  <CharactersWithSpaces>0</CharactersWithSpaces>
  <Application>WPS Office_11.8.2.1132_F1E327BC-269C-435d-A152-05C5408002CA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2024-06-20T15:27:00Z</dcterms:created>
  <dc:creator>baixin</dc:creator>
  <cp:lastModifiedBy>baixin</cp:lastModifiedBy>
  <dcterms:modified xsi:type="dcterms:W3CDTF">2024-06-21T11:39:20Z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2052-11.8.2.1132</vt:lpwstr>
  </property>
  <property fmtid="{D5CDD505-2E9C-101B-9397-08002B2CF9AE}" pid="3" name="ICV">
    <vt:lpwstr>7CFC9C60144ECBEB7C8872666B14692B</vt:lpwstr>
  </property>
</Properties>
</file>