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bidi w:val="0"/>
        <w:ind w:left="0" w:leftChars="0" w:firstLine="0" w:firstLineChars="0"/>
        <w:rPr>
          <w:rFonts w:hint="default" w:ascii="黑体" w:hAnsi="黑体" w:eastAsia="黑体" w:cs="黑体"/>
          <w:b w:val="0"/>
          <w:bCs w:val="0"/>
          <w:sz w:val="32"/>
          <w:szCs w:val="32"/>
          <w:lang w:val="en-US" w:eastAsia="zh-CN"/>
        </w:rPr>
      </w:pPr>
      <w:bookmarkStart w:id="0" w:name="_Toc11679"/>
      <w:r>
        <w:rPr>
          <w:rFonts w:hint="eastAsia" w:ascii="黑体" w:hAnsi="黑体" w:eastAsia="黑体" w:cs="黑体"/>
          <w:b w:val="0"/>
          <w:bCs w:val="0"/>
          <w:sz w:val="32"/>
          <w:szCs w:val="32"/>
          <w:lang w:val="en-US" w:eastAsia="zh-CN"/>
        </w:rPr>
        <w:t>附件4</w:t>
      </w:r>
    </w:p>
    <w:p>
      <w:pPr>
        <w:pStyle w:val="5"/>
        <w:bidi w:val="0"/>
        <w:ind w:left="0" w:leftChars="0" w:firstLine="0" w:firstLineChars="0"/>
        <w:jc w:val="center"/>
        <w:rPr>
          <w:rFonts w:hint="default" w:ascii="方正小标宋简体" w:hAnsi="方正小标宋简体" w:eastAsia="方正小标宋简体" w:cs="方正小标宋简体"/>
          <w:b w:val="0"/>
          <w:bCs w:val="0"/>
          <w:sz w:val="44"/>
          <w:szCs w:val="44"/>
          <w:lang w:val="en-US" w:eastAsia="zh-CN"/>
        </w:rPr>
      </w:pPr>
      <w:bookmarkStart w:id="1" w:name="_GoBack"/>
      <w:r>
        <w:rPr>
          <w:rFonts w:hint="default" w:ascii="方正小标宋简体" w:hAnsi="方正小标宋简体" w:eastAsia="方正小标宋简体" w:cs="方正小标宋简体"/>
          <w:b w:val="0"/>
          <w:bCs w:val="0"/>
          <w:sz w:val="44"/>
          <w:szCs w:val="44"/>
          <w:lang w:val="en-US" w:eastAsia="zh-CN"/>
        </w:rPr>
        <w:t>应急工作组职责</w:t>
      </w:r>
      <w:bookmarkEnd w:id="1"/>
      <w:bookmarkEnd w:id="0"/>
    </w:p>
    <w:tbl>
      <w:tblPr>
        <w:tblStyle w:val="7"/>
        <w:tblW w:w="49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1"/>
        <w:gridCol w:w="1717"/>
        <w:gridCol w:w="4159"/>
        <w:gridCol w:w="6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2751" w:type="pct"/>
            <w:gridSpan w:val="3"/>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b/>
                <w:bCs/>
                <w:color w:val="auto"/>
                <w:sz w:val="24"/>
                <w:szCs w:val="24"/>
                <w:highlight w:val="none"/>
                <w:vertAlign w:val="baseline"/>
                <w:lang w:eastAsia="zh-CN"/>
              </w:rPr>
            </w:pPr>
            <w:r>
              <w:rPr>
                <w:rFonts w:hint="eastAsia" w:ascii="仿宋" w:hAnsi="仿宋" w:eastAsia="仿宋" w:cs="仿宋"/>
                <w:b/>
                <w:bCs/>
                <w:color w:val="auto"/>
                <w:sz w:val="24"/>
                <w:szCs w:val="24"/>
                <w:highlight w:val="none"/>
                <w:vertAlign w:val="baseline"/>
                <w:lang w:eastAsia="zh-CN"/>
              </w:rPr>
              <w:t>应急工作组组成</w:t>
            </w:r>
          </w:p>
        </w:tc>
        <w:tc>
          <w:tcPr>
            <w:tcW w:w="2248"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b/>
                <w:bCs/>
                <w:color w:val="auto"/>
                <w:sz w:val="24"/>
                <w:szCs w:val="24"/>
                <w:highlight w:val="none"/>
                <w:vertAlign w:val="baseline"/>
                <w:lang w:eastAsia="zh-CN"/>
              </w:rPr>
            </w:pPr>
            <w:r>
              <w:rPr>
                <w:rFonts w:hint="eastAsia" w:ascii="仿宋" w:hAnsi="仿宋" w:eastAsia="仿宋" w:cs="仿宋"/>
                <w:b/>
                <w:bCs/>
                <w:color w:val="auto"/>
                <w:sz w:val="24"/>
                <w:szCs w:val="24"/>
                <w:highlight w:val="none"/>
                <w:vertAlign w:val="baseline"/>
                <w:lang w:eastAsia="zh-CN"/>
              </w:rPr>
              <w:t>应急职责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2751" w:type="pct"/>
            <w:gridSpan w:val="3"/>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b/>
                <w:bCs/>
                <w:color w:val="auto"/>
                <w:sz w:val="24"/>
                <w:szCs w:val="24"/>
                <w:highlight w:val="none"/>
                <w:vertAlign w:val="baseline"/>
                <w:lang w:eastAsia="zh-CN"/>
              </w:rPr>
            </w:pP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b/>
                <w:bCs/>
                <w:color w:val="auto"/>
                <w:sz w:val="24"/>
                <w:szCs w:val="24"/>
                <w:highlight w:val="none"/>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综合协调组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市生态环境局阳高分局</w:t>
            </w:r>
          </w:p>
        </w:tc>
        <w:tc>
          <w:tcPr>
            <w:tcW w:w="2248"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负责指挥部的日常联络、提供决策服务等应急综合协调工作；会议组织、信息汇总、信息报告、信息发布、舆情应对和资料管理等工作；配合相关部门进行事件调查工作。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rPr>
            </w:pP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highlight w:val="none"/>
                <w:vertAlign w:val="baseline"/>
                <w:lang w:val="en-US" w:eastAsia="zh-CN"/>
              </w:rPr>
              <w:t>成员单位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县应急管理局、县发展改革和科技局、县公安局、县水务局等</w:t>
            </w: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应急处置组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市生态环境局阳高分局</w:t>
            </w:r>
          </w:p>
        </w:tc>
        <w:tc>
          <w:tcPr>
            <w:tcW w:w="2248"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负责组织制定应急处置方案，迅速组织切断污染源，分析污染途径，确定防止污染物扩散的程序；组织采取有效措施；负责现场污染物消除、围堵和削减，以及污染物收集、转运和异地处置等工作。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成员单位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县应急管理局、县住房和城乡建设管理局、县交通运输局、县农业农村局、县水务局、县消防救援局、县公安局、县自然资源局等</w:t>
            </w: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应急监测组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市生态环境局阳高分局</w:t>
            </w:r>
          </w:p>
        </w:tc>
        <w:tc>
          <w:tcPr>
            <w:tcW w:w="2248" w:type="pct"/>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64" w:lineRule="auto"/>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负责制定应急监测方案；负责现场污染状况的应急监测和跟踪监测；负责应急期间的水源地、水厂和管网末梢水的水质监测。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c>
          <w:tcPr>
            <w:tcW w:w="609"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成员单位</w:t>
            </w:r>
          </w:p>
        </w:tc>
        <w:tc>
          <w:tcPr>
            <w:tcW w:w="1474"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县农业农村局、县水务局、县卫生健康和体育局、县气象局等</w:t>
            </w: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rPr>
            </w:pPr>
          </w:p>
        </w:tc>
        <w:tc>
          <w:tcPr>
            <w:tcW w:w="609"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rPr>
            </w:pPr>
          </w:p>
        </w:tc>
        <w:tc>
          <w:tcPr>
            <w:tcW w:w="147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rPr>
            </w:pP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应急供水</w:t>
            </w:r>
          </w:p>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保障组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县住房和城乡建设管理局</w:t>
            </w:r>
          </w:p>
        </w:tc>
        <w:tc>
          <w:tcPr>
            <w:tcW w:w="2248"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pacing w:val="-6"/>
                <w:sz w:val="24"/>
                <w:szCs w:val="24"/>
                <w:highlight w:val="none"/>
                <w:lang w:val="en-US" w:eastAsia="zh-CN"/>
              </w:rPr>
              <w:t>负责制定应急供水保障方案，指导供水单位通过启动水质应急处理设施或备用水源以及应急供水车等措施，保障居民用水</w:t>
            </w:r>
            <w:r>
              <w:rPr>
                <w:rFonts w:hint="eastAsia" w:ascii="仿宋" w:hAnsi="仿宋" w:eastAsia="仿宋" w:cs="仿宋"/>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成员单位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县农业农村局、县水务局、市生态环境局阳高分局、县卫生健康和体育局等</w:t>
            </w: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应急物资保障组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县财政局</w:t>
            </w:r>
          </w:p>
        </w:tc>
        <w:tc>
          <w:tcPr>
            <w:tcW w:w="2248" w:type="pct"/>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64" w:lineRule="auto"/>
              <w:ind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负责制定应急物资保障方案；负责调配应急物资、协调运输车辆；负责协调补偿征用物资、应急救援和污染物处置等费用。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c>
          <w:tcPr>
            <w:tcW w:w="609"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成员单位</w:t>
            </w:r>
          </w:p>
        </w:tc>
        <w:tc>
          <w:tcPr>
            <w:tcW w:w="1474"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县发展改革和科技局、市生态环境局阳高分局、县工业和信息化局、县住房和城乡建设管理局、县交通运输局、县自然资源局、县农业农村局、县水务局、联通、移动、电信通讯等</w:t>
            </w: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rPr>
            </w:pPr>
          </w:p>
        </w:tc>
        <w:tc>
          <w:tcPr>
            <w:tcW w:w="609"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rPr>
            </w:pPr>
          </w:p>
        </w:tc>
        <w:tc>
          <w:tcPr>
            <w:tcW w:w="1474"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rPr>
            </w:pP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医疗救援组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eastAsia="zh-CN"/>
              </w:rPr>
              <w:t>县卫生健康和体育局</w:t>
            </w:r>
          </w:p>
        </w:tc>
        <w:tc>
          <w:tcPr>
            <w:tcW w:w="2248" w:type="pct"/>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64" w:lineRule="auto"/>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主要负责救治伤员；负责事故现场的卫生防疫和监督工作；及时向应急指挥部报告人员伤亡等情况。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rPr>
            </w:pP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成员单位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县医疗保障局、龙泉镇人民政府等</w:t>
            </w: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应急专家组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市生态环境局阳高分局</w:t>
            </w:r>
          </w:p>
        </w:tc>
        <w:tc>
          <w:tcPr>
            <w:tcW w:w="2248" w:type="pct"/>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64" w:lineRule="auto"/>
              <w:ind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按照指挥部的要求，为水源地突发环境事件的预防、预警工作提供意见和建议；根据水源地突发环境事件现场调查和监测结果及相关信息，综合分析和评估水源地突发环境事件影响及发展趋势，预测事件后果，提出控制措施和防范意见；对应急处置工作组进行技术指导，向县水源地突发环境事件应急指挥部提供科学有效的参考方案；对应急处理结果以及事件的中长期环境影响进行技术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成员单位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eastAsia="zh-CN"/>
              </w:rPr>
              <w:t>县自然资源局、县农业农村局、县水务局、县卫生健康和体育局、县应急管理局等</w:t>
            </w:r>
            <w:r>
              <w:rPr>
                <w:rFonts w:hint="eastAsia" w:ascii="仿宋" w:hAnsi="仿宋" w:eastAsia="仿宋" w:cs="仿宋"/>
                <w:color w:val="auto"/>
                <w:sz w:val="24"/>
                <w:szCs w:val="24"/>
                <w:highlight w:val="none"/>
              </w:rPr>
              <w:t>。由气象、水文、农业、自然资源、环境、医疗救护、卫生防疫、安全生产和应急救援等方面的专家组成</w:t>
            </w: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宣传报道组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val="en-US" w:eastAsia="zh-CN"/>
              </w:rPr>
              <w:t>县委宣传部</w:t>
            </w:r>
          </w:p>
        </w:tc>
        <w:tc>
          <w:tcPr>
            <w:tcW w:w="2248" w:type="pct"/>
            <w:vMerge w:val="restart"/>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64" w:lineRule="auto"/>
              <w:ind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负责研究制定新闻发布方案，协调新闻报道，赴现场媒体记者的接待、管理，网络信息引导，公众自救防护知识宣传等工作，加强舆情收集分析，正确引导社会舆论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成员单位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市生态环境局阳高分局、县融媒体中心、县新闻中心、龙泉镇人民政府等</w:t>
            </w:r>
          </w:p>
        </w:tc>
        <w:tc>
          <w:tcPr>
            <w:tcW w:w="2248" w:type="pct"/>
            <w:vMerge w:val="continue"/>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64" w:lineRule="auto"/>
              <w:ind w:leftChars="0"/>
              <w:jc w:val="left"/>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治安维护组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县公安局</w:t>
            </w:r>
          </w:p>
        </w:tc>
        <w:tc>
          <w:tcPr>
            <w:tcW w:w="2248"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负责事发地周边安全警戒，保护现场，维护事发地现场治安秩序，协助事发地乡镇负责人及相关部门疏散突发事件发生区域的人员；维护事发地现场道路交通秩序，必要时依法实施交通管制；保障救援道路畅通；做好受影响人员与涉事单位及有关部门矛盾纠纷化解和法律服务工作，防止出现群体性事件；负责环境污染刑事案件的立案侦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成员单位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vertAlign w:val="baseline"/>
                <w:lang w:val="en-US" w:eastAsia="zh-CN"/>
              </w:rPr>
              <w:t>武警大同支队阳高中队、县消防救援局、县交通运输局、龙泉镇人民政府等</w:t>
            </w: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667"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事件调查组</w:t>
            </w: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牵头单位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vertAlign w:val="baseline"/>
                <w:lang w:val="en-US" w:eastAsia="zh-CN"/>
              </w:rPr>
              <w:t>市生态环境局阳高分局</w:t>
            </w:r>
          </w:p>
        </w:tc>
        <w:tc>
          <w:tcPr>
            <w:tcW w:w="2248"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负责深入调查事件发生原因，作出调查结论，评估事件影响，提出事件防范意见；负责配合纪检监察机关追究相关单位和责任人的行政责任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667"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p>
        </w:tc>
        <w:tc>
          <w:tcPr>
            <w:tcW w:w="609"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成员单位</w:t>
            </w:r>
          </w:p>
        </w:tc>
        <w:tc>
          <w:tcPr>
            <w:tcW w:w="14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vertAlign w:val="baseline"/>
                <w:lang w:val="en-US" w:eastAsia="zh-CN"/>
              </w:rPr>
              <w:t>县农业农村局、县水务局、县住房和城乡建设管理局、县交通运输局、县公安局、县应急管理局等</w:t>
            </w:r>
          </w:p>
        </w:tc>
        <w:tc>
          <w:tcPr>
            <w:tcW w:w="2248"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264" w:lineRule="auto"/>
              <w:ind w:firstLine="0" w:firstLineChars="0"/>
              <w:jc w:val="left"/>
              <w:textAlignment w:val="auto"/>
              <w:rPr>
                <w:rFonts w:hint="eastAsia" w:ascii="仿宋" w:hAnsi="仿宋" w:eastAsia="仿宋" w:cs="仿宋"/>
                <w:color w:val="auto"/>
                <w:sz w:val="24"/>
                <w:szCs w:val="24"/>
                <w:highlight w:val="none"/>
                <w:vertAlign w:val="baseline"/>
                <w:lang w:val="en-US" w:eastAsia="zh-CN"/>
              </w:rPr>
            </w:pPr>
          </w:p>
        </w:tc>
      </w:tr>
    </w:tbl>
    <w:p/>
    <w:sectPr>
      <w:pgSz w:w="16838" w:h="11906" w:orient="landscape"/>
      <w:pgMar w:top="1800" w:right="1440" w:bottom="1800" w:left="1440"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FDDBCF"/>
    <w:rsid w:val="3DFDDBCF"/>
    <w:rsid w:val="67FB01B8"/>
    <w:rsid w:val="6FFEAF10"/>
    <w:rsid w:val="7FAB87DD"/>
    <w:rsid w:val="CDC7203E"/>
    <w:rsid w:val="FAEB9A10"/>
    <w:rsid w:val="FF3EB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5">
    <w:name w:val="heading 2"/>
    <w:basedOn w:val="1"/>
    <w:next w:val="1"/>
    <w:unhideWhenUsed/>
    <w:qFormat/>
    <w:uiPriority w:val="0"/>
    <w:pPr>
      <w:keepNext w:val="0"/>
      <w:keepLines w:val="0"/>
      <w:widowControl w:val="0"/>
      <w:kinsoku/>
      <w:overflowPunct w:val="0"/>
      <w:topLinePunct/>
      <w:autoSpaceDE/>
      <w:autoSpaceDN/>
      <w:snapToGrid w:val="0"/>
      <w:spacing w:line="600" w:lineRule="exact"/>
      <w:ind w:firstLine="880" w:firstLineChars="200"/>
      <w:jc w:val="left"/>
      <w:outlineLvl w:val="1"/>
    </w:pPr>
    <w:rPr>
      <w:rFonts w:ascii="Times New Roman" w:hAnsi="Times New Roman" w:eastAsia="楷体_GB2312" w:cs="宋体"/>
      <w:bCs/>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4"/>
    <w:qFormat/>
    <w:uiPriority w:val="99"/>
    <w:pPr>
      <w:ind w:firstLine="200" w:firstLineChars="200"/>
    </w:pPr>
  </w:style>
  <w:style w:type="paragraph" w:customStyle="1" w:styleId="3">
    <w:name w:val="正文文本缩进1"/>
    <w:basedOn w:val="1"/>
    <w:qFormat/>
    <w:uiPriority w:val="99"/>
    <w:pPr>
      <w:ind w:left="200" w:leftChars="200"/>
    </w:pPr>
  </w:style>
  <w:style w:type="paragraph" w:styleId="4">
    <w:name w:val="Normal (Web)"/>
    <w:basedOn w:val="1"/>
    <w:next w:val="1"/>
    <w:qFormat/>
    <w:uiPriority w:val="99"/>
    <w:pPr>
      <w:jc w:val="left"/>
    </w:pPr>
    <w:rPr>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2026-07-24T15:24:00Z</dcterms:created>
  <dc:creator>baixin</dc:creator>
  <cp:lastModifiedBy>baixin</cp:lastModifiedBy>
  <dcterms:modified xsi:type="dcterms:W3CDTF">2026-07-24T15:26:15Z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AB14B84AE8632E9F7299E36660EC039C</vt:lpwstr>
  </property>
</Properties>
</file>