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bidi w:val="0"/>
        <w:ind w:left="0" w:leftChars="0" w:firstLine="0" w:firstLineChars="0"/>
        <w:rPr>
          <w:rFonts w:hint="eastAsia"/>
          <w:lang w:val="en-US" w:eastAsia="zh-CN"/>
        </w:rPr>
      </w:pPr>
      <w:bookmarkStart w:id="0" w:name="_Toc30580"/>
      <w:r>
        <w:rPr>
          <w:rFonts w:hint="eastAsia" w:ascii="黑体" w:hAnsi="黑体" w:eastAsia="黑体" w:cs="黑体"/>
          <w:b w:val="0"/>
          <w:bCs w:val="0"/>
          <w:sz w:val="32"/>
          <w:szCs w:val="32"/>
          <w:lang w:val="en-US" w:eastAsia="zh-CN"/>
        </w:rPr>
        <w:t>附件5</w:t>
      </w:r>
    </w:p>
    <w:bookmarkEnd w:id="0"/>
    <w:p>
      <w:pPr>
        <w:pStyle w:val="5"/>
        <w:bidi w:val="0"/>
        <w:ind w:left="0" w:leftChars="0" w:firstLine="0" w:firstLineChars="0"/>
        <w:jc w:val="center"/>
        <w:rPr>
          <w:rFonts w:hint="eastAsia" w:ascii="方正小标宋简体" w:hAnsi="方正小标宋简体" w:eastAsia="方正小标宋简体" w:cs="方正小标宋简体"/>
          <w:b w:val="0"/>
          <w:bCs w:val="0"/>
          <w:sz w:val="44"/>
          <w:szCs w:val="44"/>
          <w:lang w:val="en-US" w:eastAsia="zh-CN"/>
        </w:rPr>
      </w:pPr>
      <w:bookmarkStart w:id="3" w:name="_GoBack"/>
      <w:r>
        <w:rPr>
          <w:rFonts w:hint="eastAsia" w:ascii="方正小标宋简体" w:hAnsi="方正小标宋简体" w:eastAsia="方正小标宋简体" w:cs="方正小标宋简体"/>
          <w:b w:val="0"/>
          <w:bCs w:val="0"/>
          <w:sz w:val="44"/>
          <w:szCs w:val="44"/>
          <w:lang w:val="en-US" w:eastAsia="zh-CN"/>
        </w:rPr>
        <w:t>阳高县城镇集中式水源地突发环境事件</w:t>
      </w:r>
    </w:p>
    <w:p>
      <w:pPr>
        <w:pStyle w:val="5"/>
        <w:bidi w:val="0"/>
        <w:ind w:left="0" w:leftChars="0" w:firstLine="0" w:firstLineChars="0"/>
        <w:jc w:val="center"/>
        <w:rPr>
          <w:rFonts w:hint="default"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预警标准</w:t>
      </w:r>
    </w:p>
    <w:bookmarkEnd w:id="3"/>
    <w:tbl>
      <w:tblPr>
        <w:tblStyle w:val="11"/>
        <w:tblW w:w="5114"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948"/>
        <w:gridCol w:w="3498"/>
        <w:gridCol w:w="407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jc w:val="center"/>
        </w:trPr>
        <w:tc>
          <w:tcPr>
            <w:tcW w:w="556" w:type="pct"/>
            <w:tcBorders>
              <w:top w:val="single" w:color="000000" w:sz="10" w:space="0"/>
              <w:left w:val="single" w:color="000000" w:sz="10" w:space="0"/>
            </w:tcBorders>
            <w:noWrap w:val="0"/>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 w:cs="Times New Roman"/>
                <w:color w:val="auto"/>
                <w:sz w:val="24"/>
                <w:szCs w:val="24"/>
              </w:rPr>
            </w:pPr>
            <w:bookmarkStart w:id="1" w:name="_Toc26856"/>
            <w:bookmarkStart w:id="2" w:name="_Toc14733"/>
            <w:r>
              <w:rPr>
                <w:rFonts w:hint="default" w:ascii="Times New Roman" w:hAnsi="Times New Roman" w:eastAsia="仿宋" w:cs="Times New Roman"/>
                <w:b/>
                <w:bCs/>
                <w:color w:val="auto"/>
                <w:spacing w:val="-1"/>
                <w:sz w:val="24"/>
                <w:szCs w:val="24"/>
              </w:rPr>
              <w:t>类别</w:t>
            </w:r>
          </w:p>
        </w:tc>
        <w:tc>
          <w:tcPr>
            <w:tcW w:w="2052" w:type="pct"/>
            <w:tcBorders>
              <w:top w:val="single" w:color="000000" w:sz="10" w:space="0"/>
            </w:tcBorders>
            <w:noWrap w:val="0"/>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b/>
                <w:bCs/>
                <w:color w:val="auto"/>
                <w:spacing w:val="5"/>
                <w:sz w:val="24"/>
                <w:szCs w:val="24"/>
              </w:rPr>
              <w:t>橙色预警</w:t>
            </w:r>
          </w:p>
        </w:tc>
        <w:tc>
          <w:tcPr>
            <w:tcW w:w="2391" w:type="pct"/>
            <w:tcBorders>
              <w:top w:val="single" w:color="000000" w:sz="10" w:space="0"/>
              <w:right w:val="single" w:color="000000" w:sz="10" w:space="0"/>
            </w:tcBorders>
            <w:noWrap w:val="0"/>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b/>
                <w:bCs/>
                <w:color w:val="auto"/>
                <w:spacing w:val="4"/>
                <w:sz w:val="24"/>
                <w:szCs w:val="24"/>
              </w:rPr>
              <w:t>红色预警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7" w:hRule="atLeast"/>
          <w:jc w:val="center"/>
        </w:trPr>
        <w:tc>
          <w:tcPr>
            <w:tcW w:w="556" w:type="pct"/>
            <w:tcBorders>
              <w:left w:val="single" w:color="000000" w:sz="10" w:space="0"/>
            </w:tcBorders>
            <w:noWrap w:val="0"/>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 w:cs="Times New Roman"/>
                <w:color w:val="auto"/>
                <w:spacing w:val="1"/>
                <w:sz w:val="24"/>
                <w:szCs w:val="24"/>
              </w:rPr>
            </w:pPr>
            <w:r>
              <w:rPr>
                <w:rFonts w:hint="default" w:ascii="Times New Roman" w:hAnsi="Times New Roman" w:eastAsia="仿宋" w:cs="Times New Roman"/>
                <w:color w:val="auto"/>
                <w:spacing w:val="1"/>
                <w:sz w:val="24"/>
                <w:szCs w:val="24"/>
              </w:rPr>
              <w:t>预警</w:t>
            </w:r>
          </w:p>
          <w:p>
            <w:pPr>
              <w:pStyle w:val="10"/>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分级</w:t>
            </w:r>
          </w:p>
        </w:tc>
        <w:tc>
          <w:tcPr>
            <w:tcW w:w="2052" w:type="pct"/>
            <w:noWrap w:val="0"/>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both"/>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pacing w:val="7"/>
                <w:sz w:val="24"/>
                <w:szCs w:val="24"/>
              </w:rPr>
              <w:t>当污染物迁移至水源地应急预案适用的地域范围，但水源保护区尚未受到污染，或是污染物已进入水源保护区内或下渗进入周边土壤，但应急专家组研判认为对水源地水质影响可能较小、不影响取水时，为橙色预警。</w:t>
            </w:r>
          </w:p>
        </w:tc>
        <w:tc>
          <w:tcPr>
            <w:tcW w:w="2391" w:type="pct"/>
            <w:tcBorders>
              <w:right w:val="single" w:color="000000" w:sz="10" w:space="0"/>
            </w:tcBorders>
            <w:noWrap w:val="0"/>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both"/>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pacing w:val="5"/>
                <w:sz w:val="24"/>
                <w:szCs w:val="24"/>
              </w:rPr>
              <w:t>当污染物已进入（或出现在）水源保护区或已存在污染的可能，且应急专家组研判认为对水源地水质影响可能较大时、可能或已经影响取水时，为红色预警</w:t>
            </w:r>
            <w:r>
              <w:rPr>
                <w:rFonts w:hint="default" w:ascii="Times New Roman" w:hAnsi="Times New Roman" w:eastAsia="仿宋" w:cs="Times New Roman"/>
                <w:color w:val="auto"/>
                <w:spacing w:val="7"/>
                <w:sz w:val="24"/>
                <w:szCs w:val="24"/>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8" w:hRule="atLeast"/>
          <w:jc w:val="center"/>
        </w:trPr>
        <w:tc>
          <w:tcPr>
            <w:tcW w:w="556" w:type="pct"/>
            <w:tcBorders>
              <w:left w:val="single" w:color="000000" w:sz="10" w:space="0"/>
              <w:bottom w:val="single" w:color="000000" w:sz="10" w:space="0"/>
            </w:tcBorders>
            <w:noWrap w:val="0"/>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pacing w:val="1"/>
                <w:sz w:val="24"/>
                <w:szCs w:val="24"/>
              </w:rPr>
              <w:t>预警</w:t>
            </w:r>
            <w:r>
              <w:rPr>
                <w:rFonts w:hint="default" w:ascii="Times New Roman" w:hAnsi="Times New Roman" w:eastAsia="仿宋" w:cs="Times New Roman"/>
                <w:color w:val="auto"/>
                <w:sz w:val="24"/>
                <w:szCs w:val="24"/>
              </w:rPr>
              <w:t>的启动条</w:t>
            </w:r>
            <w:r>
              <w:rPr>
                <w:rFonts w:hint="default" w:ascii="Times New Roman" w:hAnsi="Times New Roman" w:eastAsia="仿宋" w:cs="Times New Roman"/>
                <w:color w:val="auto"/>
                <w:spacing w:val="48"/>
                <w:w w:val="125"/>
                <w:sz w:val="24"/>
                <w:szCs w:val="24"/>
              </w:rPr>
              <w:t>件</w:t>
            </w:r>
          </w:p>
        </w:tc>
        <w:tc>
          <w:tcPr>
            <w:tcW w:w="2052" w:type="pct"/>
            <w:tcBorders>
              <w:bottom w:val="single" w:color="000000" w:sz="10" w:space="0"/>
            </w:tcBorders>
            <w:noWrap w:val="0"/>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both"/>
              <w:textAlignment w:val="auto"/>
              <w:rPr>
                <w:rFonts w:hint="default" w:ascii="Times New Roman" w:hAnsi="Times New Roman" w:eastAsia="仿宋" w:cs="Times New Roman"/>
                <w:color w:val="auto"/>
                <w:spacing w:val="7"/>
                <w:sz w:val="24"/>
                <w:szCs w:val="24"/>
              </w:rPr>
            </w:pPr>
            <w:r>
              <w:rPr>
                <w:rFonts w:hint="default" w:ascii="Times New Roman" w:hAnsi="Times New Roman" w:eastAsia="仿宋" w:cs="Times New Roman"/>
                <w:color w:val="auto"/>
                <w:spacing w:val="7"/>
                <w:sz w:val="24"/>
                <w:szCs w:val="24"/>
              </w:rPr>
              <w:t>①通过信息报告发现，在保护区内可能由于自然灾害引发水源地发生突发环境事件。</w:t>
            </w:r>
          </w:p>
          <w:p>
            <w:pPr>
              <w:pStyle w:val="10"/>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both"/>
              <w:textAlignment w:val="auto"/>
              <w:rPr>
                <w:rFonts w:hint="default" w:ascii="Times New Roman" w:hAnsi="Times New Roman" w:eastAsia="仿宋" w:cs="Times New Roman"/>
                <w:color w:val="auto"/>
                <w:spacing w:val="7"/>
                <w:sz w:val="24"/>
                <w:szCs w:val="24"/>
              </w:rPr>
            </w:pPr>
            <w:r>
              <w:rPr>
                <w:rFonts w:hint="default" w:ascii="Times New Roman" w:hAnsi="Times New Roman" w:eastAsia="仿宋" w:cs="Times New Roman"/>
                <w:color w:val="auto"/>
                <w:spacing w:val="7"/>
                <w:sz w:val="24"/>
                <w:szCs w:val="24"/>
              </w:rPr>
              <w:t>②通过信息报告发现，水源地保护区周边发生固定源、流动源或非点源等突发环境事件，污染物已扩散至距保护区边界直线距离不足500米的区域。</w:t>
            </w:r>
          </w:p>
          <w:p>
            <w:pPr>
              <w:pStyle w:val="10"/>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both"/>
              <w:textAlignment w:val="auto"/>
              <w:rPr>
                <w:rFonts w:hint="default" w:ascii="Times New Roman" w:hAnsi="Times New Roman" w:eastAsia="仿宋" w:cs="Times New Roman"/>
                <w:color w:val="auto"/>
                <w:spacing w:val="7"/>
                <w:sz w:val="24"/>
                <w:szCs w:val="24"/>
              </w:rPr>
            </w:pPr>
            <w:r>
              <w:rPr>
                <w:rFonts w:hint="default" w:ascii="Times New Roman" w:hAnsi="Times New Roman" w:eastAsia="仿宋" w:cs="Times New Roman"/>
                <w:color w:val="auto"/>
                <w:spacing w:val="7"/>
                <w:sz w:val="24"/>
                <w:szCs w:val="24"/>
              </w:rPr>
              <w:t>③通过信息报告发现，水源地保护区周边发生固定源、流动源或非点源等突发环境事件，污染物已扩散至距保护区边界直线距离不足1000米的区域，经水质监测和信息研判，判断污染物迁移至水源井位置时，相应指标浓度仍会超标的。</w:t>
            </w:r>
          </w:p>
          <w:p>
            <w:pPr>
              <w:pStyle w:val="10"/>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both"/>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pacing w:val="7"/>
                <w:sz w:val="24"/>
                <w:szCs w:val="24"/>
              </w:rPr>
              <w:t>④通过监测发现，水源地水质监测指标、有毒有害物质或生物综合毒性异常，且污染物浓度持续升高的</w:t>
            </w:r>
            <w:r>
              <w:rPr>
                <w:rFonts w:hint="default" w:ascii="Times New Roman" w:hAnsi="Times New Roman" w:eastAsia="仿宋" w:cs="Times New Roman"/>
                <w:color w:val="auto"/>
                <w:spacing w:val="8"/>
                <w:sz w:val="24"/>
                <w:szCs w:val="24"/>
              </w:rPr>
              <w:t>。</w:t>
            </w:r>
          </w:p>
        </w:tc>
        <w:tc>
          <w:tcPr>
            <w:tcW w:w="2391" w:type="pct"/>
            <w:tcBorders>
              <w:bottom w:val="single" w:color="000000" w:sz="10" w:space="0"/>
              <w:right w:val="single" w:color="000000" w:sz="10" w:space="0"/>
            </w:tcBorders>
            <w:noWrap w:val="0"/>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both"/>
              <w:textAlignment w:val="auto"/>
              <w:rPr>
                <w:rFonts w:hint="default" w:ascii="Times New Roman" w:hAnsi="Times New Roman" w:eastAsia="仿宋" w:cs="Times New Roman"/>
                <w:color w:val="auto"/>
                <w:spacing w:val="6"/>
                <w:sz w:val="24"/>
                <w:szCs w:val="24"/>
              </w:rPr>
            </w:pPr>
            <w:r>
              <w:rPr>
                <w:rFonts w:hint="default" w:ascii="Times New Roman" w:hAnsi="Times New Roman" w:eastAsia="仿宋" w:cs="Times New Roman"/>
                <w:color w:val="auto"/>
                <w:spacing w:val="6"/>
                <w:sz w:val="24"/>
                <w:szCs w:val="24"/>
              </w:rPr>
              <w:t>①通过信息报告发现，在水源地保护区内发生突发环境事件。</w:t>
            </w:r>
          </w:p>
          <w:p>
            <w:pPr>
              <w:pStyle w:val="10"/>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both"/>
              <w:textAlignment w:val="auto"/>
              <w:rPr>
                <w:rFonts w:hint="default" w:ascii="Times New Roman" w:hAnsi="Times New Roman" w:eastAsia="仿宋" w:cs="Times New Roman"/>
                <w:color w:val="auto"/>
                <w:spacing w:val="6"/>
                <w:sz w:val="24"/>
                <w:szCs w:val="24"/>
              </w:rPr>
            </w:pPr>
            <w:r>
              <w:rPr>
                <w:rFonts w:hint="default" w:ascii="Times New Roman" w:hAnsi="Times New Roman" w:eastAsia="仿宋" w:cs="Times New Roman"/>
                <w:color w:val="auto"/>
                <w:spacing w:val="6"/>
                <w:sz w:val="24"/>
                <w:szCs w:val="24"/>
              </w:rPr>
              <w:t>②</w:t>
            </w:r>
            <w:r>
              <w:rPr>
                <w:rFonts w:hint="default" w:ascii="Times New Roman" w:hAnsi="Times New Roman" w:eastAsia="仿宋" w:cs="Times New Roman"/>
                <w:color w:val="auto"/>
                <w:spacing w:val="-6"/>
                <w:sz w:val="24"/>
                <w:szCs w:val="24"/>
              </w:rPr>
              <w:t>通过信息报告发现，水源地保护区周边发生固定源、流动源或非点源等突发环境事件，污染物已扩散至距保护区边界直线距离不足100米的区域</w:t>
            </w:r>
            <w:r>
              <w:rPr>
                <w:rFonts w:hint="default" w:ascii="Times New Roman" w:hAnsi="Times New Roman" w:eastAsia="仿宋" w:cs="Times New Roman"/>
                <w:color w:val="auto"/>
                <w:spacing w:val="6"/>
                <w:sz w:val="24"/>
                <w:szCs w:val="24"/>
              </w:rPr>
              <w:t>。</w:t>
            </w:r>
          </w:p>
          <w:p>
            <w:pPr>
              <w:pStyle w:val="10"/>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both"/>
              <w:textAlignment w:val="auto"/>
              <w:rPr>
                <w:rFonts w:hint="default" w:ascii="Times New Roman" w:hAnsi="Times New Roman" w:eastAsia="仿宋" w:cs="Times New Roman"/>
                <w:color w:val="auto"/>
                <w:spacing w:val="6"/>
                <w:sz w:val="24"/>
                <w:szCs w:val="24"/>
              </w:rPr>
            </w:pPr>
            <w:r>
              <w:rPr>
                <w:rFonts w:hint="default" w:ascii="Times New Roman" w:hAnsi="Times New Roman" w:eastAsia="仿宋" w:cs="Times New Roman"/>
                <w:color w:val="auto"/>
                <w:spacing w:val="6"/>
                <w:sz w:val="24"/>
                <w:szCs w:val="24"/>
              </w:rPr>
              <w:t>③通过信息报告发现，水源地保护区周边发生固定源、流动源或非点源等突发环境事件，污染物已扩散至距保护区边界直线距离不足200米的区域，经水质监测和信息研判，判断污染物迁移至水源井位置时，相应指标浓度仍会超标的。</w:t>
            </w:r>
          </w:p>
          <w:p>
            <w:pPr>
              <w:pStyle w:val="10"/>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both"/>
              <w:textAlignment w:val="auto"/>
              <w:rPr>
                <w:rFonts w:hint="default" w:ascii="Times New Roman" w:hAnsi="Times New Roman" w:eastAsia="仿宋" w:cs="Times New Roman"/>
                <w:color w:val="auto"/>
                <w:spacing w:val="6"/>
                <w:sz w:val="24"/>
                <w:szCs w:val="24"/>
              </w:rPr>
            </w:pPr>
            <w:r>
              <w:rPr>
                <w:rFonts w:hint="default" w:ascii="Times New Roman" w:hAnsi="Times New Roman" w:eastAsia="仿宋" w:cs="Times New Roman"/>
                <w:color w:val="auto"/>
                <w:spacing w:val="6"/>
                <w:sz w:val="24"/>
                <w:szCs w:val="24"/>
              </w:rPr>
              <w:t>④通过监测发现，水源地出现水质监测指标、有毒有害物质或生物综合毒性超标，且污染物浓度持续升高的。</w:t>
            </w:r>
          </w:p>
          <w:p>
            <w:pPr>
              <w:pStyle w:val="10"/>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both"/>
              <w:textAlignment w:val="auto"/>
              <w:rPr>
                <w:rFonts w:hint="default" w:ascii="Times New Roman" w:hAnsi="Times New Roman" w:eastAsia="仿宋" w:cs="Times New Roman"/>
                <w:color w:val="auto"/>
                <w:spacing w:val="6"/>
                <w:sz w:val="24"/>
                <w:szCs w:val="24"/>
              </w:rPr>
            </w:pPr>
            <w:r>
              <w:rPr>
                <w:rFonts w:hint="default" w:ascii="Times New Roman" w:hAnsi="Times New Roman" w:eastAsia="仿宋" w:cs="Times New Roman"/>
                <w:color w:val="auto"/>
                <w:spacing w:val="6"/>
                <w:sz w:val="24"/>
                <w:szCs w:val="24"/>
              </w:rPr>
              <w:t>⑤通过监测发现，水源保护区水体感官性状异常，即水体出现异常颜色或气味的。</w:t>
            </w:r>
          </w:p>
          <w:p>
            <w:pPr>
              <w:pStyle w:val="10"/>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both"/>
              <w:textAlignment w:val="auto"/>
              <w:rPr>
                <w:rFonts w:hint="default" w:ascii="Times New Roman" w:hAnsi="Times New Roman" w:eastAsia="仿宋" w:cs="Times New Roman"/>
                <w:color w:val="auto"/>
                <w:spacing w:val="6"/>
                <w:sz w:val="24"/>
                <w:szCs w:val="24"/>
              </w:rPr>
            </w:pPr>
            <w:r>
              <w:rPr>
                <w:rFonts w:hint="default" w:ascii="Times New Roman" w:hAnsi="Times New Roman" w:eastAsia="仿宋" w:cs="Times New Roman"/>
                <w:color w:val="auto"/>
                <w:spacing w:val="6"/>
                <w:sz w:val="24"/>
                <w:szCs w:val="24"/>
              </w:rPr>
              <w:t>⑥通过监测发现，水源保护区水体生态指标异常，即水面出现大面积死鱼或生物综合毒性异常并经实验室监测后确认的。</w:t>
            </w:r>
          </w:p>
          <w:p>
            <w:pPr>
              <w:pStyle w:val="10"/>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both"/>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pacing w:val="6"/>
                <w:sz w:val="24"/>
                <w:szCs w:val="24"/>
              </w:rPr>
              <w:t>⑦发生一般、较大、重大、特别重大水源地突发环境事件水源地突发环境事件，启动红色应急响应。</w:t>
            </w:r>
          </w:p>
        </w:tc>
      </w:tr>
      <w:bookmarkEnd w:id="1"/>
      <w:bookmarkEnd w:id="2"/>
    </w:tbl>
    <w:p>
      <w:pPr>
        <w:keepNext w:val="0"/>
        <w:keepLines w:val="0"/>
        <w:pageBreakBefore w:val="0"/>
        <w:widowControl/>
        <w:kinsoku w:val="0"/>
        <w:wordWrap/>
        <w:overflowPunct/>
        <w:topLinePunct w:val="0"/>
        <w:autoSpaceDE w:val="0"/>
        <w:autoSpaceDN w:val="0"/>
        <w:bidi w:val="0"/>
        <w:adjustRightInd w:val="0"/>
        <w:snapToGrid w:val="0"/>
        <w:spacing w:line="20" w:lineRule="exact"/>
        <w:textAlignment w:val="baseline"/>
      </w:pPr>
    </w:p>
    <w:sectPr>
      <w:pgSz w:w="11906" w:h="16838"/>
      <w:pgMar w:top="1440" w:right="1800" w:bottom="1440" w:left="1800" w:header="851" w:footer="992" w:gutter="0"/>
      <w:pgNumType w:fmt="numberInDash"/>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00"/>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true"/>
  <w:bordersDoNotSurroundFooter w:val="true"/>
  <w:documentProtection w:enforcement="0"/>
  <w:defaultTabStop w:val="420"/>
  <w:drawingGridVerticalSpacing w:val="156"/>
  <w:displayHorizontalDrawingGridEvery w:val="1"/>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97DC69"/>
    <w:rsid w:val="67FB01B8"/>
    <w:rsid w:val="6FFEAF10"/>
    <w:rsid w:val="7FAB87DD"/>
    <w:rsid w:val="CDC7203E"/>
    <w:rsid w:val="FAEB9A10"/>
    <w:rsid w:val="FF3EB0DF"/>
    <w:rsid w:val="FF97D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5">
    <w:name w:val="heading 2"/>
    <w:basedOn w:val="1"/>
    <w:next w:val="1"/>
    <w:unhideWhenUsed/>
    <w:qFormat/>
    <w:uiPriority w:val="0"/>
    <w:pPr>
      <w:keepNext w:val="0"/>
      <w:keepLines w:val="0"/>
      <w:widowControl w:val="0"/>
      <w:kinsoku/>
      <w:overflowPunct w:val="0"/>
      <w:topLinePunct/>
      <w:autoSpaceDE/>
      <w:autoSpaceDN/>
      <w:snapToGrid w:val="0"/>
      <w:spacing w:line="600" w:lineRule="exact"/>
      <w:ind w:firstLine="880" w:firstLineChars="200"/>
      <w:jc w:val="left"/>
      <w:outlineLvl w:val="1"/>
    </w:pPr>
    <w:rPr>
      <w:rFonts w:ascii="Times New Roman" w:hAnsi="Times New Roman" w:eastAsia="楷体_GB2312" w:cs="宋体"/>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正文首行缩进 21"/>
    <w:basedOn w:val="3"/>
    <w:next w:val="4"/>
    <w:qFormat/>
    <w:uiPriority w:val="99"/>
    <w:pPr>
      <w:ind w:firstLine="200" w:firstLineChars="200"/>
    </w:pPr>
  </w:style>
  <w:style w:type="paragraph" w:customStyle="1" w:styleId="3">
    <w:name w:val="正文文本缩进1"/>
    <w:basedOn w:val="1"/>
    <w:qFormat/>
    <w:uiPriority w:val="99"/>
    <w:pPr>
      <w:ind w:left="200" w:leftChars="200"/>
    </w:pPr>
  </w:style>
  <w:style w:type="paragraph" w:styleId="4">
    <w:name w:val="Normal (Web)"/>
    <w:basedOn w:val="1"/>
    <w:next w:val="1"/>
    <w:qFormat/>
    <w:uiPriority w:val="99"/>
    <w:pPr>
      <w:jc w:val="left"/>
    </w:pPr>
    <w:rPr>
      <w:kern w:val="0"/>
      <w:sz w:val="24"/>
      <w:szCs w:val="24"/>
    </w:rPr>
  </w:style>
  <w:style w:type="paragraph" w:styleId="6">
    <w:name w:val="footer"/>
    <w:basedOn w:val="1"/>
    <w:unhideWhenUsed/>
    <w:qFormat/>
    <w:uiPriority w:val="99"/>
    <w:pPr>
      <w:tabs>
        <w:tab w:val="center" w:pos="4153"/>
        <w:tab w:val="right" w:pos="8306"/>
      </w:tabs>
      <w:snapToGrid w:val="0"/>
      <w:jc w:val="left"/>
    </w:pPr>
    <w:rPr>
      <w:sz w:val="18"/>
    </w:rPr>
  </w:style>
  <w:style w:type="paragraph" w:styleId="7">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0">
    <w:name w:val="Table Text"/>
    <w:basedOn w:val="1"/>
    <w:semiHidden/>
    <w:qFormat/>
    <w:uiPriority w:val="0"/>
    <w:rPr>
      <w:rFonts w:ascii="仿宋" w:hAnsi="仿宋" w:eastAsia="仿宋" w:cs="仿宋"/>
      <w:sz w:val="20"/>
      <w:szCs w:val="20"/>
      <w:lang w:val="en-US" w:eastAsia="en-US" w:bidi="ar-SA"/>
    </w:rPr>
  </w:style>
  <w:style w:type="table" w:customStyle="1" w:styleId="11">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2026-07-24T15:26:00Z</dcterms:created>
  <dc:creator>baixin</dc:creator>
  <cp:lastModifiedBy>baixin</cp:lastModifiedBy>
  <dcterms:modified xsi:type="dcterms:W3CDTF">2026-07-24T15:27:16Z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AB14B84AE8632E9F7299E36660EC039C</vt:lpwstr>
  </property>
</Properties>
</file>