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keepLines/>
        <w:pageBreakBefore w:val="0"/>
        <w:widowControl w:val="0"/>
        <w:kinsoku/>
        <w:wordWrap/>
        <w:overflowPunct/>
        <w:topLinePunct w:val="0"/>
        <w:autoSpaceDE/>
        <w:autoSpaceDN/>
        <w:bidi w:val="0"/>
        <w:adjustRightInd/>
        <w:snapToGrid/>
        <w:spacing w:before="0" w:after="0" w:line="240" w:lineRule="auto"/>
        <w:ind w:left="0" w:leftChars="0" w:firstLine="0" w:firstLineChars="0"/>
        <w:textAlignment w:val="auto"/>
        <w:rPr>
          <w:rFonts w:hint="eastAsia" w:ascii="黑体" w:hAnsi="黑体" w:eastAsia="黑体" w:cs="黑体"/>
          <w:b w:val="0"/>
          <w:bCs/>
          <w:color w:val="auto"/>
          <w:kern w:val="2"/>
          <w:sz w:val="32"/>
          <w:szCs w:val="32"/>
          <w:highlight w:val="none"/>
          <w:lang w:val="en-US" w:eastAsia="zh-CN" w:bidi="ar-SA"/>
        </w:rPr>
      </w:pPr>
      <w:bookmarkStart w:id="0" w:name="_Toc14558"/>
      <w:r>
        <w:rPr>
          <w:rFonts w:hint="eastAsia" w:ascii="黑体" w:hAnsi="黑体" w:eastAsia="黑体" w:cs="黑体"/>
          <w:b w:val="0"/>
          <w:bCs/>
          <w:color w:val="auto"/>
          <w:kern w:val="2"/>
          <w:sz w:val="32"/>
          <w:szCs w:val="32"/>
          <w:highlight w:val="none"/>
          <w:lang w:val="en-US" w:eastAsia="zh-CN" w:bidi="ar-SA"/>
        </w:rPr>
        <w:t>附件4</w:t>
      </w:r>
    </w:p>
    <w:p>
      <w:pPr>
        <w:pStyle w:val="5"/>
        <w:keepNext/>
        <w:keepLines/>
        <w:pageBreakBefore w:val="0"/>
        <w:widowControl w:val="0"/>
        <w:kinsoku/>
        <w:wordWrap/>
        <w:overflowPunct/>
        <w:topLinePunct w:val="0"/>
        <w:autoSpaceDE/>
        <w:autoSpaceDN/>
        <w:bidi w:val="0"/>
        <w:adjustRightInd/>
        <w:snapToGrid/>
        <w:spacing w:before="0" w:after="0" w:line="600" w:lineRule="exact"/>
        <w:ind w:left="0" w:leftChars="0" w:firstLine="0" w:firstLineChars="0"/>
        <w:jc w:val="center"/>
        <w:textAlignment w:val="auto"/>
        <w:rPr>
          <w:rFonts w:hint="eastAsia" w:ascii="方正小标宋简体" w:hAnsi="方正小标宋简体" w:eastAsia="方正小标宋简体" w:cs="方正小标宋简体"/>
          <w:b w:val="0"/>
          <w:bCs/>
          <w:color w:val="auto"/>
          <w:kern w:val="2"/>
          <w:sz w:val="44"/>
          <w:szCs w:val="44"/>
          <w:highlight w:val="none"/>
          <w:lang w:val="en-US" w:eastAsia="zh-CN" w:bidi="ar-SA"/>
        </w:rPr>
      </w:pPr>
      <w:r>
        <w:rPr>
          <w:rFonts w:hint="eastAsia" w:ascii="方正小标宋简体" w:hAnsi="方正小标宋简体" w:eastAsia="方正小标宋简体" w:cs="方正小标宋简体"/>
          <w:b w:val="0"/>
          <w:bCs/>
          <w:color w:val="auto"/>
          <w:kern w:val="2"/>
          <w:sz w:val="44"/>
          <w:szCs w:val="44"/>
          <w:highlight w:val="none"/>
          <w:lang w:val="en-US" w:eastAsia="zh-CN" w:bidi="ar-SA"/>
        </w:rPr>
        <w:t>阳高县突发生态环境事件应急指挥部组成及职责表</w:t>
      </w:r>
      <w:bookmarkEnd w:id="0"/>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7"/>
        <w:gridCol w:w="2209"/>
        <w:gridCol w:w="1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47"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b/>
                <w:bCs/>
                <w:i w:val="0"/>
                <w:iCs w:val="0"/>
                <w:caps w:val="0"/>
                <w:color w:val="auto"/>
                <w:spacing w:val="0"/>
                <w:sz w:val="24"/>
                <w:szCs w:val="24"/>
                <w:highlight w:val="none"/>
                <w:vertAlign w:val="baseline"/>
              </w:rPr>
            </w:pPr>
          </w:p>
        </w:tc>
        <w:tc>
          <w:tcPr>
            <w:tcW w:w="220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b/>
                <w:bCs/>
                <w:i w:val="0"/>
                <w:iCs w:val="0"/>
                <w:caps w:val="0"/>
                <w:color w:val="auto"/>
                <w:spacing w:val="0"/>
                <w:sz w:val="24"/>
                <w:szCs w:val="24"/>
                <w:highlight w:val="none"/>
                <w:vertAlign w:val="baseline"/>
                <w:lang w:eastAsia="zh-CN"/>
              </w:rPr>
            </w:pPr>
            <w:r>
              <w:rPr>
                <w:rFonts w:hint="default" w:ascii="Times New Roman" w:hAnsi="Times New Roman" w:eastAsia="仿宋_GB2312" w:cs="Times New Roman"/>
                <w:b/>
                <w:bCs/>
                <w:i w:val="0"/>
                <w:iCs w:val="0"/>
                <w:caps w:val="0"/>
                <w:color w:val="auto"/>
                <w:spacing w:val="0"/>
                <w:sz w:val="24"/>
                <w:szCs w:val="24"/>
                <w:highlight w:val="none"/>
                <w:vertAlign w:val="baseline"/>
                <w:lang w:eastAsia="zh-CN"/>
              </w:rPr>
              <w:t>指挥部组成</w:t>
            </w:r>
          </w:p>
        </w:tc>
        <w:tc>
          <w:tcPr>
            <w:tcW w:w="1113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b/>
                <w:bCs/>
                <w:i w:val="0"/>
                <w:iCs w:val="0"/>
                <w:caps w:val="0"/>
                <w:color w:val="auto"/>
                <w:spacing w:val="0"/>
                <w:sz w:val="24"/>
                <w:szCs w:val="24"/>
                <w:highlight w:val="none"/>
                <w:vertAlign w:val="baseline"/>
                <w:lang w:eastAsia="zh-CN"/>
              </w:rPr>
            </w:pPr>
            <w:r>
              <w:rPr>
                <w:rFonts w:hint="default" w:ascii="Times New Roman" w:hAnsi="Times New Roman" w:eastAsia="仿宋_GB2312" w:cs="Times New Roman"/>
                <w:b/>
                <w:bCs/>
                <w:i w:val="0"/>
                <w:iCs w:val="0"/>
                <w:caps w:val="0"/>
                <w:color w:val="auto"/>
                <w:spacing w:val="0"/>
                <w:sz w:val="24"/>
                <w:szCs w:val="24"/>
                <w:highlight w:val="none"/>
                <w:vertAlign w:val="baseline"/>
                <w:lang w:eastAsia="zh-CN"/>
              </w:rPr>
              <w:t>指挥机构职责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9" w:hRule="atLeast"/>
          <w:jc w:val="center"/>
        </w:trPr>
        <w:tc>
          <w:tcPr>
            <w:tcW w:w="647"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eastAsia="zh-CN"/>
              </w:rPr>
            </w:pPr>
            <w:r>
              <w:rPr>
                <w:rFonts w:hint="default" w:ascii="Times New Roman" w:hAnsi="Times New Roman" w:eastAsia="仿宋_GB2312" w:cs="Times New Roman"/>
                <w:i w:val="0"/>
                <w:iCs w:val="0"/>
                <w:caps w:val="0"/>
                <w:color w:val="auto"/>
                <w:spacing w:val="0"/>
                <w:sz w:val="24"/>
                <w:szCs w:val="24"/>
                <w:highlight w:val="none"/>
                <w:vertAlign w:val="baseline"/>
                <w:lang w:eastAsia="zh-CN"/>
              </w:rPr>
              <w:t>总</w:t>
            </w:r>
          </w:p>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eastAsia="zh-CN"/>
              </w:rPr>
            </w:pPr>
            <w:r>
              <w:rPr>
                <w:rFonts w:hint="default" w:ascii="Times New Roman" w:hAnsi="Times New Roman" w:eastAsia="仿宋_GB2312" w:cs="Times New Roman"/>
                <w:i w:val="0"/>
                <w:iCs w:val="0"/>
                <w:caps w:val="0"/>
                <w:color w:val="auto"/>
                <w:spacing w:val="0"/>
                <w:sz w:val="24"/>
                <w:szCs w:val="24"/>
                <w:highlight w:val="none"/>
                <w:vertAlign w:val="baseline"/>
                <w:lang w:eastAsia="zh-CN"/>
              </w:rPr>
              <w:t>指</w:t>
            </w:r>
          </w:p>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eastAsia="zh-CN"/>
              </w:rPr>
            </w:pPr>
            <w:r>
              <w:rPr>
                <w:rFonts w:hint="default" w:ascii="Times New Roman" w:hAnsi="Times New Roman" w:eastAsia="仿宋_GB2312" w:cs="Times New Roman"/>
                <w:i w:val="0"/>
                <w:iCs w:val="0"/>
                <w:caps w:val="0"/>
                <w:color w:val="auto"/>
                <w:spacing w:val="0"/>
                <w:sz w:val="24"/>
                <w:szCs w:val="24"/>
                <w:highlight w:val="none"/>
                <w:vertAlign w:val="baseline"/>
                <w:lang w:eastAsia="zh-CN"/>
              </w:rPr>
              <w:t>挥</w:t>
            </w:r>
          </w:p>
        </w:tc>
        <w:tc>
          <w:tcPr>
            <w:tcW w:w="220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县人民政府分管副县长</w:t>
            </w:r>
          </w:p>
        </w:tc>
        <w:tc>
          <w:tcPr>
            <w:tcW w:w="1113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决定应急预案的启动和终止；组织领导和指挥协调本县突发环境事件的应急处置工作，根据事件的性质、规模、类别等情况，提出应急处置的原则要求；配合上级突发环境事件应急领导机构协调辖区内特别重大、重大、较大突发环境事件调查和应急处置工作；领导、组织、协调一般突发环境事件调查和应急处置工作；向县委、县政府报告应急处置工作进展情况；负责突发环境事件有关信息的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647" w:type="dxa"/>
            <w:vMerge w:val="restart"/>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副</w:t>
            </w:r>
          </w:p>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总</w:t>
            </w:r>
          </w:p>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指</w:t>
            </w:r>
          </w:p>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挥</w:t>
            </w:r>
          </w:p>
        </w:tc>
        <w:tc>
          <w:tcPr>
            <w:tcW w:w="220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县政府办</w:t>
            </w:r>
            <w:r>
              <w:rPr>
                <w:rFonts w:hint="eastAsia" w:ascii="Times New Roman" w:hAnsi="Times New Roman" w:eastAsia="仿宋_GB2312" w:cs="Times New Roman"/>
                <w:i w:val="0"/>
                <w:iCs w:val="0"/>
                <w:caps w:val="0"/>
                <w:color w:val="auto"/>
                <w:spacing w:val="0"/>
                <w:sz w:val="24"/>
                <w:szCs w:val="24"/>
                <w:highlight w:val="none"/>
                <w:vertAlign w:val="baseline"/>
                <w:lang w:val="en-US" w:eastAsia="zh-CN"/>
              </w:rPr>
              <w:t>联系工作的</w:t>
            </w: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副主任</w:t>
            </w:r>
          </w:p>
        </w:tc>
        <w:tc>
          <w:tcPr>
            <w:tcW w:w="11139" w:type="dxa"/>
            <w:vMerge w:val="restart"/>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办公室设在市生态环境局阳高分局，办公室主任由市生态环境局阳高分局局长兼任。</w:t>
            </w:r>
          </w:p>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办公室主要职责为：积极主动地为指挥部当好参谋助手，负责突发环境事件的应急响应工作，加强信息收集、分析研究和上报工作，搞好</w:t>
            </w:r>
            <w:bookmarkStart w:id="1" w:name="_GoBack"/>
            <w:bookmarkEnd w:id="1"/>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上传下达和对一线处置工作的监控，督促相关单位按要求落实各项处置措施；在县指挥部授权下，依法组织协调本县突发环境事件应急处置工作，负责组织相关专家对突发环境事件进行风险评估；建立和完善环境事件监测和预警体系；组织修订县突发环境事件应急预案；完成县指挥部交办的其他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647" w:type="dxa"/>
            <w:vMerge w:val="continue"/>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220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市生态环境局阳高分局局长</w:t>
            </w:r>
          </w:p>
        </w:tc>
        <w:tc>
          <w:tcPr>
            <w:tcW w:w="11139" w:type="dxa"/>
            <w:vMerge w:val="continue"/>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7" w:type="dxa"/>
            <w:vMerge w:val="continue"/>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220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县应急管理局局长</w:t>
            </w:r>
          </w:p>
        </w:tc>
        <w:tc>
          <w:tcPr>
            <w:tcW w:w="11139" w:type="dxa"/>
            <w:vMerge w:val="continue"/>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7" w:type="dxa"/>
            <w:vMerge w:val="restart"/>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成</w:t>
            </w:r>
          </w:p>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员</w:t>
            </w:r>
          </w:p>
        </w:tc>
        <w:tc>
          <w:tcPr>
            <w:tcW w:w="220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县纪委监委</w:t>
            </w:r>
          </w:p>
        </w:tc>
        <w:tc>
          <w:tcPr>
            <w:tcW w:w="1113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负责对行政机关工作人员和其他人员在突发环境事件应急处置工作中履行职责的情况实施监察，对事件调查处理工作进行监督，依法对在突发环境事件中的违纪违规行为进行调查处理。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47" w:type="dxa"/>
            <w:vMerge w:val="continue"/>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220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default" w:ascii="Times New Roman" w:hAnsi="Times New Roman" w:eastAsia="仿宋_GB2312" w:cs="Times New Roman"/>
                <w:i w:val="0"/>
                <w:iCs w:val="0"/>
                <w:caps w:val="0"/>
                <w:color w:val="auto"/>
                <w:spacing w:val="0"/>
                <w:kern w:val="0"/>
                <w:sz w:val="24"/>
                <w:szCs w:val="24"/>
                <w:highlight w:val="none"/>
                <w:vertAlign w:val="baseline"/>
                <w:lang w:val="en-US" w:eastAsia="zh-CN" w:bidi="ar"/>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县委宣传部</w:t>
            </w:r>
          </w:p>
        </w:tc>
        <w:tc>
          <w:tcPr>
            <w:tcW w:w="1113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统筹协调突发环境事件的新闻发布工作，做好突发环境事件舆论引导和媒体监督。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647" w:type="dxa"/>
            <w:vMerge w:val="continue"/>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220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w:t>
            </w:r>
            <w:r>
              <w:rPr>
                <w:rFonts w:hint="eastAsia" w:ascii="Times New Roman" w:hAnsi="Times New Roman" w:eastAsia="仿宋_GB2312" w:cs="Times New Roman"/>
                <w:i w:val="0"/>
                <w:iCs w:val="0"/>
                <w:caps w:val="0"/>
                <w:color w:val="auto"/>
                <w:spacing w:val="0"/>
                <w:sz w:val="24"/>
                <w:szCs w:val="24"/>
                <w:highlight w:val="none"/>
                <w:vertAlign w:val="baseline"/>
                <w:lang w:val="en-US" w:eastAsia="zh-CN"/>
              </w:rPr>
              <w:t>发展改革和科技</w:t>
            </w: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局</w:t>
            </w:r>
          </w:p>
        </w:tc>
        <w:tc>
          <w:tcPr>
            <w:tcW w:w="1113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负责突发环境事件应急预防与处置体系建设项目的立项与管理。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7" w:type="dxa"/>
            <w:vMerge w:val="continue"/>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220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县行政审批</w:t>
            </w:r>
            <w:r>
              <w:rPr>
                <w:rFonts w:hint="eastAsia" w:ascii="Times New Roman" w:hAnsi="Times New Roman" w:eastAsia="仿宋_GB2312" w:cs="Times New Roman"/>
                <w:i w:val="0"/>
                <w:iCs w:val="0"/>
                <w:caps w:val="0"/>
                <w:color w:val="auto"/>
                <w:spacing w:val="0"/>
                <w:sz w:val="24"/>
                <w:szCs w:val="24"/>
                <w:highlight w:val="none"/>
                <w:vertAlign w:val="baseline"/>
                <w:lang w:val="en-US" w:eastAsia="zh-CN"/>
              </w:rPr>
              <w:t>服务管理</w:t>
            </w: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局</w:t>
            </w:r>
          </w:p>
        </w:tc>
        <w:tc>
          <w:tcPr>
            <w:tcW w:w="1113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负责应急状态下所需应急物资或资金的保障工作，负责全县应急物资储运设施建设项目管理，负责涉及突发环境事件应急基础设施建设项目的审批。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647" w:type="dxa"/>
            <w:vMerge w:val="continue"/>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220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县教育局</w:t>
            </w:r>
          </w:p>
        </w:tc>
        <w:tc>
          <w:tcPr>
            <w:tcW w:w="1113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参与协调学校突发环境事件的应急处置工作；负责学生及教职员工突发环境事件应急知识的教育和培训。发生严重环境事件时，组织学校学生疏散，必要时启动停课机制。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47" w:type="dxa"/>
            <w:vMerge w:val="continue"/>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220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w:t>
            </w:r>
            <w:r>
              <w:rPr>
                <w:rFonts w:hint="eastAsia" w:ascii="Times New Roman" w:hAnsi="Times New Roman" w:eastAsia="仿宋_GB2312" w:cs="Times New Roman"/>
                <w:i w:val="0"/>
                <w:iCs w:val="0"/>
                <w:caps w:val="0"/>
                <w:color w:val="auto"/>
                <w:spacing w:val="0"/>
                <w:sz w:val="24"/>
                <w:szCs w:val="24"/>
                <w:highlight w:val="none"/>
                <w:vertAlign w:val="baseline"/>
                <w:lang w:val="en-US" w:eastAsia="zh-CN"/>
              </w:rPr>
              <w:t>工业和信息化</w:t>
            </w: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局</w:t>
            </w:r>
          </w:p>
        </w:tc>
        <w:tc>
          <w:tcPr>
            <w:tcW w:w="1113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负责紧急状态下重要物资组织工作；负责突发环境事件应急通信保障工作。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3" w:hRule="atLeast"/>
          <w:jc w:val="center"/>
        </w:trPr>
        <w:tc>
          <w:tcPr>
            <w:tcW w:w="647" w:type="dxa"/>
            <w:vMerge w:val="continue"/>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220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县公安局</w:t>
            </w:r>
          </w:p>
        </w:tc>
        <w:tc>
          <w:tcPr>
            <w:tcW w:w="1113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受理突发环境事件报警信息；参与因交通事故、危险化学品、剧毒化学品、不明危险化学品引发的突发环境事件的调查、处置；在专业部门指导下，对突发环境事件现场划定管制区域，并根据需要组织开设应急救援通道；对突发环境事件事故现场、重要保护目标、危险区域实施治安警戒和治安管理；对造成突发环境事件的责任人立案侦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647" w:type="dxa"/>
            <w:vMerge w:val="continue"/>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220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县民政局</w:t>
            </w:r>
          </w:p>
        </w:tc>
        <w:tc>
          <w:tcPr>
            <w:tcW w:w="1113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负责组织协调受突发环境事件影响居民的转移、安置；负责组织指导突发环境事件造成的受伤人员及遇难者家属的临时生活救助工作；因突发环境事件死亡人员按相关规定落实殡葬救助工作。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647" w:type="dxa"/>
            <w:vMerge w:val="continue"/>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220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县财政局</w:t>
            </w:r>
          </w:p>
        </w:tc>
        <w:tc>
          <w:tcPr>
            <w:tcW w:w="1113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负责突发环境事件应急处置工作中应由县财政安排的经费保障及管理工作。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7" w:type="dxa"/>
            <w:vMerge w:val="continue"/>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220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县自然资源局</w:t>
            </w:r>
          </w:p>
        </w:tc>
        <w:tc>
          <w:tcPr>
            <w:tcW w:w="1113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负责指导因突发生态环境事件造成生态破坏的国土空间生态修复工作；为突发生态环境事件引发的地质灾害防治提供技术支撑。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7" w:type="dxa"/>
            <w:vMerge w:val="continue"/>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220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市生态环境局阳高分局</w:t>
            </w:r>
          </w:p>
        </w:tc>
        <w:tc>
          <w:tcPr>
            <w:tcW w:w="1113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配合上级生态环境部门进行较大、重大、特别重大环境污染事故和生态破坏事件调查处理，负责一般突发生态环境事件调查工作；指导和督促事发地政府开展应急处置、应急监测、损害评估、环境修复等工作；加强县级突发生态环境事件应急能力建设经费使用监督检查，及时发现和纠正有关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7" w:type="dxa"/>
            <w:vMerge w:val="continue"/>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220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w:t>
            </w:r>
            <w:r>
              <w:rPr>
                <w:rFonts w:hint="eastAsia" w:ascii="Times New Roman" w:hAnsi="Times New Roman" w:eastAsia="仿宋_GB2312" w:cs="Times New Roman"/>
                <w:i w:val="0"/>
                <w:iCs w:val="0"/>
                <w:caps w:val="0"/>
                <w:color w:val="auto"/>
                <w:spacing w:val="0"/>
                <w:sz w:val="24"/>
                <w:szCs w:val="24"/>
                <w:highlight w:val="none"/>
                <w:vertAlign w:val="baseline"/>
                <w:lang w:val="en-US" w:eastAsia="zh-CN"/>
              </w:rPr>
              <w:t>住房和城乡建设管理</w:t>
            </w: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局</w:t>
            </w:r>
          </w:p>
        </w:tc>
        <w:tc>
          <w:tcPr>
            <w:tcW w:w="1113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负责指导全县涉及突发生态环境事件应急市政公用设施的建设、运行安全和应急管理。会同文物主管部门对突发生态环境事件引发的历史文化名城（镇、村）的保护业务工作提供技术支持。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7" w:type="dxa"/>
            <w:vMerge w:val="continue"/>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220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县交通运输局</w:t>
            </w:r>
          </w:p>
        </w:tc>
        <w:tc>
          <w:tcPr>
            <w:tcW w:w="1113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按规定组织协调重点物资和紧急客货运输；负责危险化学品道路的安全监督管理工作，参与因交通运输事故引发的突发生态环境事件的调查和应急处置；负责组织通往突发生态环境事件现场的公路抢修；协调通往突发生态环境事件现场公路的保通工作，拟订公路绕行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7" w:type="dxa"/>
            <w:vMerge w:val="continue"/>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220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县水务局</w:t>
            </w:r>
          </w:p>
        </w:tc>
        <w:tc>
          <w:tcPr>
            <w:tcW w:w="1113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负责突发生态环境事件涉及生态环境用水的统筹和保障、饮用水水源保护工作，指导全县突发生态环境事件涉及重要河湖和河口、河岸滩涂的保护；指导全县突发生态环境事件涉及河湖水生态保护与修复；负责水文等相关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7" w:type="dxa"/>
            <w:vMerge w:val="continue"/>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220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县农业农村局</w:t>
            </w:r>
          </w:p>
        </w:tc>
        <w:tc>
          <w:tcPr>
            <w:tcW w:w="1113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参与对农业环境污染突发环境事件的调查；参与畜禽养殖业和涉及食品原产地突发环境事件的应急处置工作；负责组织对突发生态环境事件造成的农业生产损失评估，指导农业生产恢复等工作。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7" w:type="dxa"/>
            <w:vMerge w:val="continue"/>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220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w:t>
            </w:r>
            <w:r>
              <w:rPr>
                <w:rFonts w:hint="eastAsia" w:ascii="Times New Roman" w:hAnsi="Times New Roman" w:eastAsia="仿宋_GB2312" w:cs="Times New Roman"/>
                <w:i w:val="0"/>
                <w:iCs w:val="0"/>
                <w:caps w:val="0"/>
                <w:color w:val="auto"/>
                <w:spacing w:val="0"/>
                <w:sz w:val="24"/>
                <w:szCs w:val="24"/>
                <w:highlight w:val="none"/>
                <w:vertAlign w:val="baseline"/>
                <w:lang w:val="en-US" w:eastAsia="zh-CN"/>
              </w:rPr>
              <w:t>卫生健康和体育</w:t>
            </w: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局</w:t>
            </w:r>
          </w:p>
        </w:tc>
        <w:tc>
          <w:tcPr>
            <w:tcW w:w="1113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负责突发环境事件现场的伤病人员医疗救治；做好突发环境事件伤病人员的急救转运和收治，并根据需要和指令，协调调动全县医疗卫生资源。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7" w:type="dxa"/>
            <w:vMerge w:val="continue"/>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220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县应急管理局</w:t>
            </w:r>
          </w:p>
        </w:tc>
        <w:tc>
          <w:tcPr>
            <w:tcW w:w="1113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负责协调调动应急资源队伍参与突发生态环境事件应急处置工作；指导做好事件影响区域有关人员的紧急转移和临时安置工作。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7" w:type="dxa"/>
            <w:vMerge w:val="continue"/>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220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w:t>
            </w:r>
            <w:r>
              <w:rPr>
                <w:rFonts w:hint="eastAsia" w:ascii="Times New Roman" w:hAnsi="Times New Roman" w:eastAsia="仿宋_GB2312" w:cs="Times New Roman"/>
                <w:i w:val="0"/>
                <w:iCs w:val="0"/>
                <w:caps w:val="0"/>
                <w:color w:val="auto"/>
                <w:spacing w:val="0"/>
                <w:sz w:val="24"/>
                <w:szCs w:val="24"/>
                <w:highlight w:val="none"/>
                <w:vertAlign w:val="baseline"/>
                <w:lang w:val="en-US" w:eastAsia="zh-CN"/>
              </w:rPr>
              <w:t>市场监督管理</w:t>
            </w: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局</w:t>
            </w:r>
          </w:p>
        </w:tc>
        <w:tc>
          <w:tcPr>
            <w:tcW w:w="1113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负责在突发环境事件的应急处置中做好食品安全监督管理工作，以及药品、医疗器械质量监督管理工作，保障药品药械安全。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7" w:type="dxa"/>
            <w:vMerge w:val="continue"/>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220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县能源局</w:t>
            </w:r>
          </w:p>
        </w:tc>
        <w:tc>
          <w:tcPr>
            <w:tcW w:w="1113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负责能源预测预警，监测全县能源发展状况，参与能源运行调节和应急保障。承担较大及以上突发生态环境事件造成煤、电、油、气、运供应紧张状态下的紧急调度和综合协调。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647" w:type="dxa"/>
            <w:vMerge w:val="continue"/>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220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w:t>
            </w:r>
            <w:r>
              <w:rPr>
                <w:rFonts w:hint="eastAsia" w:ascii="Times New Roman" w:hAnsi="Times New Roman" w:eastAsia="仿宋_GB2312" w:cs="Times New Roman"/>
                <w:i w:val="0"/>
                <w:iCs w:val="0"/>
                <w:caps w:val="0"/>
                <w:color w:val="auto"/>
                <w:spacing w:val="0"/>
                <w:sz w:val="24"/>
                <w:szCs w:val="24"/>
                <w:highlight w:val="none"/>
                <w:vertAlign w:val="baseline"/>
                <w:lang w:val="en-US" w:eastAsia="zh-CN"/>
              </w:rPr>
              <w:t>文化和旅游</w:t>
            </w: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局</w:t>
            </w:r>
          </w:p>
        </w:tc>
        <w:tc>
          <w:tcPr>
            <w:tcW w:w="1113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参与涉旅游突发环境事件的应急处置工作；参与旅游团队突发环境事件的应急处置工作。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7" w:type="dxa"/>
            <w:vMerge w:val="continue"/>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220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县林业局</w:t>
            </w:r>
          </w:p>
        </w:tc>
        <w:tc>
          <w:tcPr>
            <w:tcW w:w="1113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负责对突发生态环境事件造成的涉及森林资源、草原资源、湿地资源、野生动植物资源等林业和草原资源及其生态环境损害进行评估，指导林业、草原和湿地生态保护修复。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7" w:type="dxa"/>
            <w:vMerge w:val="continue"/>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220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县气象局</w:t>
            </w:r>
          </w:p>
        </w:tc>
        <w:tc>
          <w:tcPr>
            <w:tcW w:w="1113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根据突发环境事件应急处置的需要，负责提供有关气象监测预报服务，提供现场预测预报信息并适时开展人工影响天气作业。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47" w:type="dxa"/>
            <w:vMerge w:val="continue"/>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220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w:t>
            </w:r>
            <w:r>
              <w:rPr>
                <w:rFonts w:hint="eastAsia" w:ascii="Times New Roman" w:hAnsi="Times New Roman" w:eastAsia="仿宋_GB2312" w:cs="Times New Roman"/>
                <w:i w:val="0"/>
                <w:iCs w:val="0"/>
                <w:caps w:val="0"/>
                <w:color w:val="auto"/>
                <w:spacing w:val="0"/>
                <w:sz w:val="24"/>
                <w:szCs w:val="24"/>
                <w:highlight w:val="none"/>
                <w:vertAlign w:val="baseline"/>
                <w:lang w:val="en-US" w:eastAsia="zh-CN"/>
              </w:rPr>
              <w:t>人力资源和社会保障</w:t>
            </w: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局</w:t>
            </w:r>
          </w:p>
        </w:tc>
        <w:tc>
          <w:tcPr>
            <w:tcW w:w="1113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负责组织指导突发环境事件造成的社会保险相关问题处置工作。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647" w:type="dxa"/>
            <w:vMerge w:val="continue"/>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220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县消防救援局</w:t>
            </w:r>
          </w:p>
        </w:tc>
        <w:tc>
          <w:tcPr>
            <w:tcW w:w="1113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参与污染物泄漏、爆炸、燃烧等造成或可能造成众多人员急性中毒或较大社会危害的灾难事件的抢险救援。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647" w:type="dxa"/>
            <w:vMerge w:val="continue"/>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220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国网山西省电力公司阳高县供电公司</w:t>
            </w:r>
          </w:p>
        </w:tc>
        <w:tc>
          <w:tcPr>
            <w:tcW w:w="1113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负责电力系统突发环境事件的应急处置工作，提供应急处置电力保障。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647" w:type="dxa"/>
            <w:vMerge w:val="continue"/>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220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龙泉工业园区开发建设管理中心</w:t>
            </w:r>
          </w:p>
        </w:tc>
        <w:tc>
          <w:tcPr>
            <w:tcW w:w="1113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负责园区内发生的突发环境事件应对工作；负责三级联防系统的启用；负责协调园区内各企业应急物资的应急借调与协调。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7" w:type="dxa"/>
            <w:vMerge w:val="continue"/>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p>
        </w:tc>
        <w:tc>
          <w:tcPr>
            <w:tcW w:w="220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各乡镇人民政府</w:t>
            </w:r>
          </w:p>
        </w:tc>
        <w:tc>
          <w:tcPr>
            <w:tcW w:w="11139" w:type="dxa"/>
            <w:noWrap w:val="0"/>
            <w:vAlign w:val="center"/>
          </w:tcPr>
          <w:p>
            <w:pPr>
              <w:pStyle w:val="4"/>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default" w:ascii="Times New Roman" w:hAnsi="Times New Roman" w:eastAsia="仿宋_GB2312" w:cs="Times New Roman"/>
                <w:i w:val="0"/>
                <w:iCs w:val="0"/>
                <w:caps w:val="0"/>
                <w:color w:val="auto"/>
                <w:spacing w:val="0"/>
                <w:sz w:val="24"/>
                <w:szCs w:val="24"/>
                <w:highlight w:val="none"/>
                <w:vertAlign w:val="baseline"/>
                <w:lang w:val="en-US" w:eastAsia="zh-CN"/>
              </w:rPr>
            </w:pPr>
            <w:r>
              <w:rPr>
                <w:rFonts w:hint="default" w:ascii="Times New Roman" w:hAnsi="Times New Roman" w:eastAsia="仿宋_GB2312" w:cs="Times New Roman"/>
                <w:i w:val="0"/>
                <w:iCs w:val="0"/>
                <w:caps w:val="0"/>
                <w:color w:val="auto"/>
                <w:spacing w:val="0"/>
                <w:sz w:val="24"/>
                <w:szCs w:val="24"/>
                <w:highlight w:val="none"/>
                <w:vertAlign w:val="baseline"/>
                <w:lang w:val="en-US" w:eastAsia="zh-CN"/>
              </w:rPr>
              <w:t>负责本乡镇辖区内突发环境事件的应急应对；在事件发生时，负责第一时间到达现场，对现场进行初步调查与上报；负责为到来的应急救援专业队伍进行交通指引。</w:t>
            </w:r>
          </w:p>
        </w:tc>
      </w:tr>
    </w:tbl>
    <w:p/>
    <w:sectPr>
      <w:pgSz w:w="16838" w:h="11906" w:orient="landscape"/>
      <w:pgMar w:top="1800" w:right="1440" w:bottom="1800" w:left="1440"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9BE91D"/>
    <w:rsid w:val="13723C61"/>
    <w:rsid w:val="559BE91D"/>
    <w:rsid w:val="65834ED7"/>
    <w:rsid w:val="67FB01B8"/>
    <w:rsid w:val="6FFEAF10"/>
    <w:rsid w:val="7FAB87DD"/>
    <w:rsid w:val="CDC7203E"/>
    <w:rsid w:val="D7DF8A71"/>
    <w:rsid w:val="E1AF899F"/>
    <w:rsid w:val="EDDDEFA9"/>
    <w:rsid w:val="FAEB9A10"/>
    <w:rsid w:val="FF3EB0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2"/>
    <w:basedOn w:val="1"/>
    <w:next w:val="1"/>
    <w:unhideWhenUsed/>
    <w:qFormat/>
    <w:uiPriority w:val="0"/>
    <w:pPr>
      <w:keepNext/>
      <w:keepLines/>
      <w:spacing w:before="120" w:beforeLines="0" w:beforeAutospacing="0" w:after="120" w:afterLines="0" w:afterAutospacing="0" w:line="360" w:lineRule="auto"/>
      <w:ind w:firstLine="1040" w:firstLineChars="200"/>
      <w:outlineLvl w:val="1"/>
    </w:pPr>
    <w:rPr>
      <w:rFonts w:ascii="Times New Roman" w:hAnsi="Times New Roman" w:eastAsia="仿宋_GB2312"/>
      <w:b/>
      <w:sz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正文首行缩进 21"/>
    <w:basedOn w:val="3"/>
    <w:next w:val="4"/>
    <w:qFormat/>
    <w:uiPriority w:val="99"/>
    <w:pPr>
      <w:widowControl/>
      <w:ind w:firstLine="200" w:firstLineChars="200"/>
      <w:jc w:val="left"/>
    </w:pPr>
    <w:rPr>
      <w:rFonts w:eastAsia="仿宋_GB2312"/>
      <w:kern w:val="0"/>
      <w:sz w:val="24"/>
      <w:szCs w:val="24"/>
    </w:rPr>
  </w:style>
  <w:style w:type="paragraph" w:customStyle="1" w:styleId="3">
    <w:name w:val="正文文本缩进1"/>
    <w:basedOn w:val="1"/>
    <w:qFormat/>
    <w:uiPriority w:val="99"/>
    <w:pPr>
      <w:ind w:left="200" w:leftChars="200"/>
    </w:pPr>
    <w:rPr>
      <w:rFonts w:ascii="Calibri" w:hAnsi="Calibri" w:cs="Calibri"/>
    </w:rPr>
  </w:style>
  <w:style w:type="paragraph" w:styleId="4">
    <w:name w:val="Normal (Web)"/>
    <w:basedOn w:val="1"/>
    <w:next w:val="1"/>
    <w:qFormat/>
    <w:uiPriority w:val="0"/>
    <w:pPr>
      <w:spacing w:before="100" w:beforeAutospacing="1" w:after="10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2494</Words>
  <Characters>2494</Characters>
  <Lines>0</Lines>
  <Paragraphs>0</Paragraphs>
  <TotalTime>6</TotalTime>
  <ScaleCrop>false</ScaleCrop>
  <LinksUpToDate>false</LinksUpToDate>
  <CharactersWithSpaces>2494</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2026-06-30T07:49:00Z</dcterms:created>
  <dc:creator>baixin</dc:creator>
  <cp:lastModifiedBy>baixin</cp:lastModifiedBy>
  <dcterms:modified xsi:type="dcterms:W3CDTF">2026-07-23T09:15:31Z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AB14B84AE8632E9F7299E36660EC039C</vt:lpwstr>
  </property>
  <property fmtid="{D5CDD505-2E9C-101B-9397-08002B2CF9AE}" pid="4" name="KSOTemplateDocerSaveRecord">
    <vt:lpwstr>eyJoZGlkIjoiN2YzNjBkOTgyNWQ1YTMxYzM3MzMwNWFiODNmOWIzYWMiLCJ1c2VySWQiOiIzNzkyMjQ5MjQifQ==</vt:lpwstr>
  </property>
</Properties>
</file>