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0C5D5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pacing w:val="-15"/>
          <w:sz w:val="32"/>
          <w:szCs w:val="32"/>
          <w:highlight w:val="none"/>
        </w:rPr>
      </w:pPr>
      <w:bookmarkStart w:id="0" w:name="_Toc1648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6</w:t>
      </w:r>
      <w:bookmarkStart w:id="1" w:name="_GoBack"/>
      <w:bookmarkEnd w:id="1"/>
    </w:p>
    <w:p w14:paraId="2DC34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3"/>
          <w:sz w:val="44"/>
          <w:szCs w:val="44"/>
          <w:highlight w:val="none"/>
          <w:lang w:eastAsia="zh-CN"/>
        </w:rPr>
        <w:t>突发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3"/>
          <w:sz w:val="44"/>
          <w:szCs w:val="44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3"/>
          <w:sz w:val="44"/>
          <w:szCs w:val="44"/>
          <w:highlight w:val="none"/>
          <w:lang w:eastAsia="zh-CN"/>
        </w:rPr>
        <w:t>环境事件应急响应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highlight w:val="none"/>
        </w:rPr>
        <w:t>条件表</w:t>
      </w:r>
    </w:p>
    <w:tbl>
      <w:tblPr>
        <w:tblStyle w:val="9"/>
        <w:tblW w:w="137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2"/>
        <w:gridCol w:w="3437"/>
        <w:gridCol w:w="3437"/>
        <w:gridCol w:w="3453"/>
      </w:tblGrid>
      <w:tr w14:paraId="4DCC9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3452" w:type="dxa"/>
            <w:tcBorders>
              <w:left w:val="single" w:color="000000" w:sz="10" w:space="0"/>
            </w:tcBorders>
            <w:noWrap w:val="0"/>
            <w:vAlign w:val="center"/>
          </w:tcPr>
          <w:p w14:paraId="0E0F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  <w:t>一级响应</w:t>
            </w:r>
          </w:p>
        </w:tc>
        <w:tc>
          <w:tcPr>
            <w:tcW w:w="3437" w:type="dxa"/>
            <w:noWrap w:val="0"/>
            <w:vAlign w:val="center"/>
          </w:tcPr>
          <w:p w14:paraId="5F4B1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  <w:t>二级响应</w:t>
            </w:r>
          </w:p>
        </w:tc>
        <w:tc>
          <w:tcPr>
            <w:tcW w:w="3437" w:type="dxa"/>
            <w:noWrap w:val="0"/>
            <w:vAlign w:val="center"/>
          </w:tcPr>
          <w:p w14:paraId="3D5DB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  <w:t>三级响应</w:t>
            </w:r>
          </w:p>
        </w:tc>
        <w:tc>
          <w:tcPr>
            <w:tcW w:w="3453" w:type="dxa"/>
            <w:tcBorders>
              <w:right w:val="single" w:color="000000" w:sz="10" w:space="0"/>
            </w:tcBorders>
            <w:noWrap w:val="0"/>
            <w:vAlign w:val="center"/>
          </w:tcPr>
          <w:p w14:paraId="776E8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2"/>
                <w:szCs w:val="32"/>
                <w:highlight w:val="none"/>
              </w:rPr>
              <w:t>四级响应</w:t>
            </w:r>
          </w:p>
        </w:tc>
      </w:tr>
      <w:tr w14:paraId="33C52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6" w:hRule="atLeast"/>
          <w:jc w:val="center"/>
        </w:trPr>
        <w:tc>
          <w:tcPr>
            <w:tcW w:w="3452" w:type="dxa"/>
            <w:tcBorders>
              <w:left w:val="single" w:color="000000" w:sz="10" w:space="0"/>
            </w:tcBorders>
            <w:noWrap w:val="0"/>
            <w:vAlign w:val="center"/>
          </w:tcPr>
          <w:p w14:paraId="27E3E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启动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件：初判①发生特别重大突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境事件的；②可能导致30人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死亡或100人以上中毒或重伤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③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需疏散、转移人员5万人以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的；④可能造成直接经济损失1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亿元以上的；⑤可能造成区域生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9"/>
                <w:sz w:val="24"/>
                <w:szCs w:val="24"/>
                <w:highlight w:val="none"/>
              </w:rPr>
              <w:t>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能丧失或该区域国家重点保护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物种灭绝的；⑥对设区的市级以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9"/>
                <w:sz w:val="24"/>
                <w:szCs w:val="24"/>
                <w:highlight w:val="none"/>
              </w:rPr>
              <w:t>城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市集中式饮用水水源保护区造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9"/>
                <w:sz w:val="24"/>
                <w:szCs w:val="24"/>
                <w:highlight w:val="none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或者可能造成影响的突发环境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</w:rPr>
              <w:t>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件时，启动一级响应。</w:t>
            </w:r>
          </w:p>
        </w:tc>
        <w:tc>
          <w:tcPr>
            <w:tcW w:w="3437" w:type="dxa"/>
            <w:noWrap w:val="0"/>
            <w:vAlign w:val="center"/>
          </w:tcPr>
          <w:p w14:paraId="7BA2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right="0" w:firstLine="1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启动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件：初判①发生重大突发环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境事件的；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②可能导致10人以上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人以下死亡或50人以上100人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下中毒或重伤的；③需疏散、转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highlight w:val="none"/>
              </w:rPr>
              <w:t>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人员1万人以上5万人以下的；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可能造成直接经济损失2000万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元以上1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亿元以下的；⑤可能造成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域生态功能部分丧失或该区域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国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家重点保护野生动植物种群大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批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死亡的；⑥对县级集中式饮用水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源保护区造成或者可能造成影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的；⑦可能造成跨省级行政区域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影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响的突发环境事件时，启动二级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应。</w:t>
            </w:r>
          </w:p>
        </w:tc>
        <w:tc>
          <w:tcPr>
            <w:tcW w:w="3437" w:type="dxa"/>
            <w:noWrap w:val="0"/>
            <w:vAlign w:val="center"/>
          </w:tcPr>
          <w:p w14:paraId="1B71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启动条件：初判①发生较大突发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境事件的；②可能导致3人以上10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highlight w:val="none"/>
              </w:rPr>
              <w:t>人以下死亡或1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0人以上50人以下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毒或重伤的；③需疏散、转移人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highlight w:val="none"/>
              </w:rPr>
              <w:t>员500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0人以上1万人以下的；④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可能造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成直接经济损失500万元以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2000万元以下的；⑤可能造成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0"/>
                <w:sz w:val="24"/>
                <w:szCs w:val="24"/>
                <w:highlight w:val="none"/>
              </w:rPr>
              <w:t>国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家重点保护的动植物物种受到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破坏的；⑥对集中式饮用水水源保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护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区造成或者可能造成影响的；⑦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0"/>
                <w:sz w:val="24"/>
                <w:szCs w:val="24"/>
                <w:highlight w:val="none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能造成跨设区的市级行政区域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影响的突发环境事件时，启动三级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24"/>
                <w:szCs w:val="24"/>
                <w:highlight w:val="none"/>
              </w:rPr>
              <w:t>应。</w:t>
            </w:r>
          </w:p>
        </w:tc>
        <w:tc>
          <w:tcPr>
            <w:tcW w:w="3453" w:type="dxa"/>
            <w:tcBorders>
              <w:right w:val="single" w:color="000000" w:sz="10" w:space="0"/>
            </w:tcBorders>
            <w:noWrap w:val="0"/>
            <w:vAlign w:val="center"/>
          </w:tcPr>
          <w:p w14:paraId="085D9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1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启动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件：初判①发生一般突发环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境事件的；②可能导致3人以下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24"/>
                <w:szCs w:val="24"/>
                <w:highlight w:val="none"/>
              </w:rPr>
              <w:t>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亡或10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以下中毒或重伤的；③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24"/>
                <w:szCs w:val="24"/>
                <w:highlight w:val="none"/>
              </w:rPr>
              <w:t>需疏散、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转移人员5000人以下的；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④可能造成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直接经济损失500万元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下的；⑤可能造成跨县级行政区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highlight w:val="none"/>
              </w:rPr>
              <w:t>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纷，引起一般性群体影响的；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对环境造成一定影响，尚未达到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大突发环境事件级别的突发环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  <w:highlight w:val="none"/>
              </w:rPr>
              <w:t>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事件时，启动四级响应。</w:t>
            </w:r>
          </w:p>
        </w:tc>
      </w:tr>
      <w:tr w14:paraId="45C4B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3779" w:type="dxa"/>
            <w:gridSpan w:val="4"/>
            <w:tcBorders>
              <w:left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62E7AB24">
            <w:pPr>
              <w:spacing w:before="109" w:line="231" w:lineRule="auto"/>
              <w:ind w:left="11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响应条件有关数量的表述中，“以上”含本数，“以下”不含本数。</w:t>
            </w:r>
          </w:p>
        </w:tc>
      </w:tr>
    </w:tbl>
    <w:p w14:paraId="40B72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83531A-5312-4CBC-9345-51CDCECF4B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D7CB2A-F8B5-41BE-BFD2-A2BA7E468EE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FD6A7F6-9286-4B05-88F4-B3D2B09ECB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17EEBF4-59B7-4C10-B96E-A9F1AC4051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7F4C1F"/>
    <w:rsid w:val="0E71155C"/>
    <w:rsid w:val="4F34106C"/>
    <w:rsid w:val="5BEFEA70"/>
    <w:rsid w:val="67FB01B8"/>
    <w:rsid w:val="6FFEAF10"/>
    <w:rsid w:val="7FAB87DD"/>
    <w:rsid w:val="BA7F4C1F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730</Words>
  <Characters>758</Characters>
  <Lines>0</Lines>
  <Paragraphs>0</Paragraphs>
  <TotalTime>2</TotalTime>
  <ScaleCrop>false</ScaleCrop>
  <LinksUpToDate>false</LinksUpToDate>
  <CharactersWithSpaces>760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2026-06-29T15:44:00Z</dcterms:created>
  <dc:creator>baixin</dc:creator>
  <cp:lastModifiedBy>芝芝</cp:lastModifiedBy>
  <dcterms:modified xsi:type="dcterms:W3CDTF">2026-07-09T02:45:27Z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