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pageBreakBefore w:val="0"/>
        <w:widowControl w:val="0"/>
        <w:kinsoku/>
        <w:wordWrap/>
        <w:overflowPunct/>
        <w:bidi w:val="0"/>
        <w:snapToGrid w:val="0"/>
        <w:spacing w:beforeAutospacing="0" w:after="0" w:afterAutospacing="0" w:line="360" w:lineRule="auto"/>
        <w:ind w:left="0" w:leftChars="0" w:firstLine="0" w:firstLineChars="0"/>
        <w:outlineLvl w:val="0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482"/>
      <w:bookmarkStart w:id="1" w:name="_Toc25352"/>
      <w:bookmarkStart w:id="2" w:name="_Toc10273"/>
      <w:bookmarkStart w:id="3" w:name="_Toc31584"/>
      <w:bookmarkStart w:id="4" w:name="_Toc19189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bookmarkEnd w:id="0"/>
      <w:bookmarkEnd w:id="1"/>
      <w:bookmarkEnd w:id="2"/>
      <w:bookmarkEnd w:id="3"/>
      <w:bookmarkEnd w:id="4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0" w:afterAutospacing="0" w:line="600" w:lineRule="exact"/>
        <w:ind w:left="0" w:leftChars="0" w:firstLine="0" w:firstLineChars="0"/>
        <w:jc w:val="center"/>
        <w:textAlignment w:val="auto"/>
        <w:rPr>
          <w:rFonts w:ascii="Times New Roman" w:hAnsi="Times New Roman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5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阳高县辐射事故分级标准、响应条件及应急措施表</w:t>
      </w:r>
      <w:bookmarkEnd w:id="5"/>
    </w:p>
    <w:tbl>
      <w:tblPr>
        <w:tblStyle w:val="7"/>
        <w:tblpPr w:leftFromText="180" w:rightFromText="180" w:vertAnchor="text" w:horzAnchor="page" w:tblpXSpec="center" w:tblpY="179"/>
        <w:tblOverlap w:val="never"/>
        <w:tblW w:w="13349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3"/>
        <w:gridCol w:w="3339"/>
        <w:gridCol w:w="2984"/>
        <w:gridCol w:w="2981"/>
        <w:gridCol w:w="2982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06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3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lang w:bidi="ar"/>
                <w14:textFill>
                  <w14:solidFill>
                    <w14:schemeClr w14:val="tx1"/>
                  </w14:solidFill>
                </w14:textFill>
              </w:rPr>
              <w:t>特别重大辐射事故</w:t>
            </w:r>
          </w:p>
        </w:tc>
        <w:tc>
          <w:tcPr>
            <w:tcW w:w="298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lang w:bidi="ar"/>
                <w14:textFill>
                  <w14:solidFill>
                    <w14:schemeClr w14:val="tx1"/>
                  </w14:solidFill>
                </w14:textFill>
              </w:rPr>
              <w:t>重大辐射事故</w:t>
            </w:r>
          </w:p>
        </w:tc>
        <w:tc>
          <w:tcPr>
            <w:tcW w:w="29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lang w:bidi="ar"/>
                <w14:textFill>
                  <w14:solidFill>
                    <w14:schemeClr w14:val="tx1"/>
                  </w14:solidFill>
                </w14:textFill>
              </w:rPr>
              <w:t>较大辐射事故</w:t>
            </w:r>
          </w:p>
        </w:tc>
        <w:tc>
          <w:tcPr>
            <w:tcW w:w="2982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0"/>
                <w:lang w:bidi="ar"/>
                <w14:textFill>
                  <w14:solidFill>
                    <w14:schemeClr w14:val="tx1"/>
                  </w14:solidFill>
                </w14:textFill>
              </w:rPr>
              <w:t>一般辐射事故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2" w:hRule="atLeast"/>
          <w:jc w:val="center"/>
        </w:trPr>
        <w:tc>
          <w:tcPr>
            <w:tcW w:w="106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分级标准</w:t>
            </w:r>
          </w:p>
        </w:tc>
        <w:tc>
          <w:tcPr>
            <w:tcW w:w="333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Fonts w:hint="eastAsia" w:ascii="仿宋_GB2312" w:hAnsi="仿宋_GB2312" w:eastAsia="仿宋_GB2312" w:cs="仿宋_GB2312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凡符合下列情形之一的，为特别重大辐射事故：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（1）I、</w:t>
            </w: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Ⅱ类</w:t>
            </w: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放射源丢失、被盗、失控并造成大范围严重辐射污染后果；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（2）放射性同位素和射线装置失控导致3人及以上急性死亡；</w:t>
            </w: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（3）放射性物质泄漏，造成大范围辐射污染后果；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（4）国内外航天器在我市行政区域内坠落造成的环境放射性污染事件，以及可能对我市环境造成辐射影响的市域外核与辐射事故、事件。</w:t>
            </w:r>
          </w:p>
        </w:tc>
        <w:tc>
          <w:tcPr>
            <w:tcW w:w="298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凡符合下列情形之一的，为重大辐射事故：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（1）I、</w:t>
            </w: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Ⅱ类</w:t>
            </w: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放射源丢失、被盗、失控；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（2）放射性同位素和射线装置失控导致3人以下急性死亡或者10人及以上急性重度放射病、局部器官残疾；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（3）放射性物质泄漏，造成 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较大范围辐射污染后果。</w:t>
            </w:r>
          </w:p>
        </w:tc>
        <w:tc>
          <w:tcPr>
            <w:tcW w:w="29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凡符合下列情形之一的，为较大辐射事故：</w:t>
            </w:r>
          </w:p>
          <w:p>
            <w:pPr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III类放射源丢失、被盗、失控；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（2）放射性同位素和射线装置失控导致10人以下急性重度放射病、局部器官残疾； 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（3）放射性物质泄漏，造成 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小范围辐射污染后果。</w:t>
            </w:r>
          </w:p>
        </w:tc>
        <w:tc>
          <w:tcPr>
            <w:tcW w:w="2982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凡符合下列情形之一的，为一般辐射事故：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（1）IV、V类放射源丢失、被盗、失控；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（2）放射性同位素和射线装置失控导致人员受到超过年剂量限值的照射；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（3）放射性物质泄漏，造成局部辐射污染后果；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（4）伴生放射性矿开发利用超标排放，造成环境辐射污染后果；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left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（5）测井用放射源落井，打捞不成功进行封井处理。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4" w:hRule="atLeast"/>
          <w:jc w:val="center"/>
        </w:trPr>
        <w:tc>
          <w:tcPr>
            <w:tcW w:w="1063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响应条件及应急措施</w:t>
            </w:r>
          </w:p>
        </w:tc>
        <w:tc>
          <w:tcPr>
            <w:tcW w:w="3339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初判发生特别重大辐射事故，启动一级响应。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应急响应：详见4.3.3。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Fonts w:hint="eastAsia" w:ascii="仿宋_GB2312" w:hAnsi="仿宋_GB2312" w:eastAsia="仿宋_GB2312" w:cs="仿宋_GB2312"/>
                <w:b/>
                <w:color w:val="000000" w:themeColor="text1"/>
                <w:kern w:val="0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应急措施：详见4.4。</w:t>
            </w:r>
          </w:p>
        </w:tc>
        <w:tc>
          <w:tcPr>
            <w:tcW w:w="2984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初判发生重大辐射事故时， 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启动二级响应。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应急响应：详见4.3.3。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应急措施：详见4.4。</w:t>
            </w:r>
          </w:p>
        </w:tc>
        <w:tc>
          <w:tcPr>
            <w:tcW w:w="2981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初判发生较大辐射事故时， 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启动三级响应。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应急响应：详见4.3.2。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应急措施：详见4.4。</w:t>
            </w:r>
          </w:p>
        </w:tc>
        <w:tc>
          <w:tcPr>
            <w:tcW w:w="2982" w:type="dxa"/>
            <w:tcBorders>
              <w:tl2br w:val="nil"/>
              <w:tr2bl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初判发生一般辐射事故时，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启动四级响应。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应急响应：详见4.3.1。</w:t>
            </w:r>
          </w:p>
          <w:p>
            <w:pPr>
              <w:pageBreakBefore w:val="0"/>
              <w:widowControl w:val="0"/>
              <w:kinsoku/>
              <w:wordWrap/>
              <w:overflowPunct/>
              <w:bidi w:val="0"/>
              <w:spacing w:beforeAutospacing="0" w:afterAutospacing="0"/>
              <w:ind w:left="0" w:leftChars="0"/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应急措施：详见4.4。</w:t>
            </w:r>
          </w:p>
        </w:tc>
      </w:tr>
    </w:tbl>
    <w:p>
      <w:pPr>
        <w:pageBreakBefore w:val="0"/>
        <w:widowControl w:val="0"/>
        <w:kinsoku/>
        <w:wordWrap/>
        <w:overflowPunct/>
        <w:bidi w:val="0"/>
        <w:spacing w:beforeAutospacing="0" w:afterAutospacing="0"/>
        <w:ind w:left="0" w:leftChars="0"/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lang w:bidi="ar"/>
          <w14:textFill>
            <w14:solidFill>
              <w14:schemeClr w14:val="tx1"/>
            </w14:solidFill>
          </w14:textFill>
        </w:rPr>
        <w:t>注：上述有关数量的表述中，“以上”含本数，“以下”不含本数。</w:t>
      </w: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FAB0BC"/>
    <w:multiLevelType w:val="singleLevel"/>
    <w:tmpl w:val="BFFAB0BC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BF8A51"/>
    <w:rsid w:val="FFBF8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8"/>
      <w:szCs w:val="28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qFormat/>
    <w:uiPriority w:val="0"/>
    <w:rPr>
      <w:rFonts w:ascii="仿宋_GB2312" w:eastAsia="仿宋_GB2312" w:cs="仿宋_GB2312"/>
      <w:color w:val="000000"/>
      <w:sz w:val="24"/>
      <w:szCs w:val="24"/>
      <w:lang w:val="en-US" w:bidi="ar-SA"/>
    </w:rPr>
  </w:style>
  <w:style w:type="paragraph" w:customStyle="1" w:styleId="3">
    <w:name w:val="表内容@"/>
    <w:qFormat/>
    <w:uiPriority w:val="0"/>
    <w:pPr>
      <w:widowControl w:val="0"/>
      <w:autoSpaceDE w:val="0"/>
      <w:autoSpaceDN w:val="0"/>
      <w:adjustRightInd w:val="0"/>
      <w:spacing w:line="0" w:lineRule="atLeast"/>
      <w:jc w:val="center"/>
    </w:pPr>
    <w:rPr>
      <w:rFonts w:ascii="宋体" w:hAnsi="宋体" w:eastAsia="仿宋" w:cs="Arial"/>
      <w:sz w:val="21"/>
      <w:szCs w:val="21"/>
      <w:lang w:val="zh-CN" w:eastAsia="zh-CN" w:bidi="zh-CN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Body Text First Indent"/>
    <w:basedOn w:val="4"/>
    <w:qFormat/>
    <w:uiPriority w:val="0"/>
    <w:pPr>
      <w:ind w:firstLine="420" w:firstLineChars="100"/>
    </w:pPr>
  </w:style>
  <w:style w:type="character" w:customStyle="1" w:styleId="9">
    <w:name w:val="font01"/>
    <w:basedOn w:val="8"/>
    <w:qFormat/>
    <w:uiPriority w:val="0"/>
    <w:rPr>
      <w:rFonts w:hint="default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2023-07-05T09:12:00Z</dcterms:created>
  <dc:creator>baixin</dc:creator>
  <cp:lastModifiedBy>baixin</cp:lastModifiedBy>
  <dcterms:modified xsi:type="dcterms:W3CDTF">2023-07-05T09:13:38Z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