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ind w:left="-1" w:leftChars="-200" w:hanging="419" w:hangingChars="131"/>
        <w:jc w:val="left"/>
        <w:rPr>
          <w:rFonts w:hint="eastAsia" w:ascii="黑体" w:hAnsi="黑体" w:eastAsia="黑体" w:cs="黑体"/>
          <w:bCs/>
          <w:color w:val="000000"/>
          <w:sz w:val="32"/>
          <w:szCs w:val="32"/>
        </w:rPr>
      </w:pPr>
      <w:r>
        <w:rPr>
          <w:rFonts w:hint="eastAsia" w:ascii="黑体" w:hAnsi="黑体" w:eastAsia="黑体" w:cs="黑体"/>
          <w:bCs/>
          <w:color w:val="000000"/>
          <w:sz w:val="32"/>
          <w:szCs w:val="32"/>
        </w:rPr>
        <w:t>附件1</w:t>
      </w:r>
      <w:r>
        <w:rPr>
          <w:rFonts w:hint="eastAsia" w:ascii="黑体" w:hAnsi="黑体" w:eastAsia="黑体" w:cs="黑体"/>
          <w:bCs/>
          <w:color w:val="000000"/>
          <w:sz w:val="32"/>
          <w:szCs w:val="32"/>
        </w:rPr>
        <w:tab/>
      </w:r>
    </w:p>
    <w:p>
      <w:pPr>
        <w:widowControl/>
        <w:spacing w:line="360" w:lineRule="auto"/>
        <w:jc w:val="center"/>
        <w:rPr>
          <w:rFonts w:hint="eastAsia" w:ascii="宋体" w:hAnsi="宋体" w:cs="宋体"/>
          <w:b/>
          <w:bCs w:val="0"/>
          <w:color w:val="000000"/>
          <w:sz w:val="44"/>
          <w:szCs w:val="44"/>
        </w:rPr>
      </w:pPr>
      <w:r>
        <w:rPr>
          <w:rFonts w:hint="eastAsia" w:ascii="宋体" w:hAnsi="宋体" w:cs="宋体"/>
          <w:b/>
          <w:bCs/>
          <w:sz w:val="44"/>
          <w:szCs w:val="44"/>
          <w:lang w:eastAsia="zh-CN"/>
        </w:rPr>
        <w:t>阳高县</w:t>
      </w:r>
      <w:r>
        <w:rPr>
          <w:rFonts w:hint="eastAsia" w:ascii="宋体" w:hAnsi="宋体" w:eastAsia="宋体" w:cs="宋体"/>
          <w:b/>
          <w:bCs/>
          <w:sz w:val="44"/>
          <w:szCs w:val="44"/>
          <w:lang w:eastAsia="zh-CN"/>
        </w:rPr>
        <w:t>税务局</w:t>
      </w:r>
      <w:r>
        <w:rPr>
          <w:rFonts w:hint="eastAsia" w:ascii="宋体" w:hAnsi="宋体" w:cs="宋体"/>
          <w:b/>
          <w:bCs w:val="0"/>
          <w:color w:val="000000"/>
          <w:sz w:val="44"/>
          <w:szCs w:val="44"/>
        </w:rPr>
        <w:t>行政职权事项清单总表</w:t>
      </w:r>
    </w:p>
    <w:p>
      <w:pPr>
        <w:widowControl/>
        <w:spacing w:line="360" w:lineRule="auto"/>
        <w:ind w:left="-420" w:leftChars="-200" w:firstLine="0" w:firstLineChars="0"/>
        <w:jc w:val="center"/>
        <w:rPr>
          <w:rFonts w:hint="eastAsia" w:ascii="宋体" w:hAnsi="宋体" w:cs="宋体"/>
          <w:b/>
          <w:bCs w:val="0"/>
          <w:color w:val="000000"/>
          <w:sz w:val="44"/>
          <w:szCs w:val="44"/>
        </w:rPr>
      </w:pPr>
      <w:r>
        <w:rPr>
          <w:rFonts w:hint="eastAsia" w:ascii="宋体" w:hAnsi="宋体" w:cs="宋体"/>
          <w:b/>
          <w:bCs w:val="0"/>
          <w:color w:val="000000"/>
          <w:sz w:val="44"/>
          <w:szCs w:val="44"/>
        </w:rPr>
        <w:t>（</w:t>
      </w:r>
      <w:r>
        <w:rPr>
          <w:rFonts w:hint="eastAsia" w:ascii="宋体" w:hAnsi="宋体" w:cs="宋体"/>
          <w:b/>
          <w:bCs w:val="0"/>
          <w:color w:val="000000"/>
          <w:sz w:val="44"/>
          <w:szCs w:val="44"/>
          <w:lang w:val="en-US" w:eastAsia="zh-CN"/>
        </w:rPr>
        <w:t>65</w:t>
      </w:r>
      <w:bookmarkStart w:id="0" w:name="_GoBack"/>
      <w:bookmarkEnd w:id="0"/>
      <w:r>
        <w:rPr>
          <w:rFonts w:hint="eastAsia" w:ascii="宋体" w:hAnsi="宋体" w:cs="宋体"/>
          <w:b/>
          <w:bCs w:val="0"/>
          <w:color w:val="000000"/>
          <w:sz w:val="44"/>
          <w:szCs w:val="44"/>
        </w:rPr>
        <w:t>项）</w:t>
      </w:r>
    </w:p>
    <w:p>
      <w:pPr>
        <w:widowControl/>
        <w:spacing w:line="280" w:lineRule="exact"/>
        <w:jc w:val="left"/>
        <w:rPr>
          <w:rFonts w:hint="eastAsia" w:ascii="宋体" w:hAnsi="宋体" w:cs="宋体"/>
          <w:b/>
          <w:bCs w:val="0"/>
          <w:color w:val="000000"/>
          <w:sz w:val="44"/>
          <w:szCs w:val="44"/>
        </w:rPr>
      </w:pPr>
    </w:p>
    <w:p>
      <w:pPr>
        <w:widowControl/>
        <w:spacing w:line="280" w:lineRule="exact"/>
        <w:jc w:val="left"/>
        <w:rPr>
          <w:rFonts w:hint="eastAsia" w:ascii="宋体" w:hAnsi="宋体" w:cs="宋体"/>
          <w:b/>
          <w:bCs w:val="0"/>
          <w:color w:val="000000"/>
          <w:sz w:val="44"/>
          <w:szCs w:val="44"/>
        </w:rPr>
      </w:pPr>
    </w:p>
    <w:p>
      <w:pPr>
        <w:widowControl/>
        <w:spacing w:line="280" w:lineRule="exact"/>
        <w:jc w:val="left"/>
        <w:rPr>
          <w:rFonts w:hint="eastAsia" w:ascii="宋体" w:hAnsi="宋体" w:cs="宋体"/>
          <w:b/>
          <w:bCs w:val="0"/>
          <w:color w:val="000000"/>
          <w:sz w:val="44"/>
          <w:szCs w:val="44"/>
        </w:rPr>
      </w:pPr>
    </w:p>
    <w:p>
      <w:pPr>
        <w:widowControl/>
        <w:spacing w:line="360" w:lineRule="auto"/>
        <w:ind w:left="0" w:leftChars="-200" w:hanging="420" w:hangingChars="15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填报单位</w:t>
      </w:r>
      <w:r>
        <w:rPr>
          <w:rFonts w:hint="eastAsia" w:ascii="仿宋" w:hAnsi="仿宋" w:eastAsia="仿宋" w:cs="仿宋"/>
          <w:bCs/>
          <w:color w:val="000000"/>
          <w:sz w:val="28"/>
          <w:szCs w:val="28"/>
          <w:lang w:eastAsia="zh-CN"/>
        </w:rPr>
        <w:t>：国家税务总局阳高县税务局</w:t>
      </w:r>
      <w:r>
        <w:rPr>
          <w:rFonts w:hint="eastAsia" w:ascii="仿宋" w:hAnsi="仿宋" w:eastAsia="仿宋" w:cs="仿宋"/>
          <w:bCs/>
          <w:color w:val="000000"/>
          <w:sz w:val="28"/>
          <w:szCs w:val="28"/>
        </w:rPr>
        <w:t xml:space="preserve">（公章） </w:t>
      </w:r>
    </w:p>
    <w:p>
      <w:pPr>
        <w:widowControl/>
        <w:spacing w:line="360" w:lineRule="auto"/>
        <w:ind w:left="0" w:leftChars="-200" w:hanging="420" w:hangingChars="15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填表时间：</w:t>
      </w:r>
      <w:r>
        <w:rPr>
          <w:rFonts w:hint="eastAsia" w:ascii="仿宋" w:hAnsi="仿宋" w:eastAsia="仿宋" w:cs="仿宋"/>
          <w:bCs/>
          <w:color w:val="000000"/>
          <w:sz w:val="28"/>
          <w:szCs w:val="28"/>
          <w:lang w:val="en-US" w:eastAsia="zh-CN"/>
        </w:rPr>
        <w:t>2021</w:t>
      </w:r>
      <w:r>
        <w:rPr>
          <w:rFonts w:hint="eastAsia" w:ascii="仿宋" w:hAnsi="仿宋" w:eastAsia="仿宋" w:cs="仿宋"/>
          <w:bCs/>
          <w:color w:val="000000"/>
          <w:sz w:val="28"/>
          <w:szCs w:val="28"/>
        </w:rPr>
        <w:t>年</w:t>
      </w:r>
      <w:r>
        <w:rPr>
          <w:rFonts w:hint="eastAsia" w:ascii="仿宋" w:hAnsi="仿宋" w:eastAsia="仿宋" w:cs="仿宋"/>
          <w:bCs/>
          <w:color w:val="000000"/>
          <w:sz w:val="28"/>
          <w:szCs w:val="28"/>
          <w:lang w:val="en-US" w:eastAsia="zh-CN"/>
        </w:rPr>
        <w:t>2</w:t>
      </w:r>
      <w:r>
        <w:rPr>
          <w:rFonts w:hint="eastAsia" w:ascii="仿宋" w:hAnsi="仿宋" w:eastAsia="仿宋" w:cs="仿宋"/>
          <w:bCs/>
          <w:color w:val="000000"/>
          <w:sz w:val="28"/>
          <w:szCs w:val="28"/>
        </w:rPr>
        <w:t>月</w:t>
      </w:r>
      <w:r>
        <w:rPr>
          <w:rFonts w:hint="eastAsia" w:ascii="仿宋" w:hAnsi="仿宋" w:eastAsia="仿宋" w:cs="仿宋"/>
          <w:bCs/>
          <w:color w:val="000000"/>
          <w:sz w:val="28"/>
          <w:szCs w:val="28"/>
          <w:lang w:val="en-US" w:eastAsia="zh-CN"/>
        </w:rPr>
        <w:t>24</w:t>
      </w:r>
      <w:r>
        <w:rPr>
          <w:rFonts w:hint="eastAsia" w:ascii="仿宋" w:hAnsi="仿宋" w:eastAsia="仿宋" w:cs="仿宋"/>
          <w:bCs/>
          <w:color w:val="000000"/>
          <w:sz w:val="28"/>
          <w:szCs w:val="28"/>
        </w:rPr>
        <w:t>日</w:t>
      </w:r>
    </w:p>
    <w:p>
      <w:pPr>
        <w:widowControl/>
        <w:spacing w:line="280" w:lineRule="exact"/>
        <w:jc w:val="left"/>
        <w:rPr>
          <w:rFonts w:hint="eastAsia" w:ascii="宋体" w:hAnsi="宋体" w:cs="宋体"/>
          <w:bCs/>
          <w:color w:val="000000"/>
          <w:sz w:val="28"/>
          <w:szCs w:val="28"/>
        </w:rPr>
      </w:pPr>
    </w:p>
    <w:tbl>
      <w:tblPr>
        <w:tblStyle w:val="4"/>
        <w:tblW w:w="9082" w:type="dxa"/>
        <w:tblInd w:w="-4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980"/>
        <w:gridCol w:w="1981"/>
        <w:gridCol w:w="31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1980" w:type="dxa"/>
            <w:vAlign w:val="center"/>
          </w:tcPr>
          <w:p>
            <w:pPr>
              <w:widowControl/>
              <w:spacing w:line="280" w:lineRule="exact"/>
              <w:jc w:val="center"/>
              <w:rPr>
                <w:rFonts w:hint="eastAsia" w:ascii="宋体" w:hAnsi="宋体" w:cs="宋体"/>
                <w:bCs/>
                <w:color w:val="000000"/>
                <w:sz w:val="28"/>
                <w:szCs w:val="28"/>
                <w:lang w:val="en-US" w:eastAsia="zh-CN"/>
              </w:rPr>
            </w:pPr>
            <w:r>
              <w:rPr>
                <w:rFonts w:hint="eastAsia" w:ascii="宋体" w:hAnsi="宋体" w:cs="宋体"/>
                <w:bCs/>
                <w:color w:val="000000"/>
                <w:sz w:val="28"/>
                <w:szCs w:val="28"/>
                <w:lang w:val="en-US" w:eastAsia="zh-CN"/>
              </w:rPr>
              <w:t>序号</w:t>
            </w:r>
          </w:p>
        </w:tc>
        <w:tc>
          <w:tcPr>
            <w:tcW w:w="1980" w:type="dxa"/>
            <w:vAlign w:val="center"/>
          </w:tcPr>
          <w:p>
            <w:pPr>
              <w:widowControl/>
              <w:spacing w:line="280" w:lineRule="exact"/>
              <w:jc w:val="center"/>
              <w:rPr>
                <w:vertAlign w:val="baseline"/>
              </w:rPr>
            </w:pPr>
            <w:r>
              <w:rPr>
                <w:rFonts w:hint="eastAsia" w:ascii="宋体" w:hAnsi="宋体" w:cs="宋体"/>
                <w:bCs/>
                <w:color w:val="000000"/>
                <w:sz w:val="28"/>
                <w:szCs w:val="28"/>
                <w:lang w:val="en-US" w:eastAsia="zh-CN"/>
              </w:rPr>
              <w:t>事项</w:t>
            </w:r>
            <w:r>
              <w:rPr>
                <w:rFonts w:hint="eastAsia" w:ascii="宋体" w:hAnsi="宋体" w:cs="宋体"/>
                <w:bCs/>
                <w:color w:val="000000"/>
                <w:sz w:val="28"/>
                <w:szCs w:val="28"/>
              </w:rPr>
              <w:t xml:space="preserve">类型 </w:t>
            </w:r>
          </w:p>
        </w:tc>
        <w:tc>
          <w:tcPr>
            <w:tcW w:w="1981" w:type="dxa"/>
            <w:vAlign w:val="center"/>
          </w:tcPr>
          <w:p>
            <w:pPr>
              <w:widowControl/>
              <w:spacing w:line="280" w:lineRule="exact"/>
              <w:jc w:val="center"/>
              <w:rPr>
                <w:vertAlign w:val="baseline"/>
              </w:rPr>
            </w:pPr>
            <w:r>
              <w:rPr>
                <w:rFonts w:hint="eastAsia" w:ascii="宋体" w:hAnsi="宋体" w:cs="宋体"/>
                <w:bCs/>
                <w:color w:val="000000"/>
                <w:sz w:val="28"/>
                <w:szCs w:val="28"/>
                <w:lang w:val="en-US" w:eastAsia="zh-CN"/>
              </w:rPr>
              <w:t>事项</w:t>
            </w:r>
            <w:r>
              <w:rPr>
                <w:rFonts w:hint="eastAsia" w:ascii="宋体" w:hAnsi="宋体" w:cs="宋体"/>
                <w:bCs/>
                <w:color w:val="000000"/>
                <w:sz w:val="28"/>
                <w:szCs w:val="28"/>
              </w:rPr>
              <w:t>编码</w:t>
            </w:r>
          </w:p>
        </w:tc>
        <w:tc>
          <w:tcPr>
            <w:tcW w:w="3141" w:type="dxa"/>
            <w:vAlign w:val="center"/>
          </w:tcPr>
          <w:p>
            <w:pPr>
              <w:widowControl/>
              <w:spacing w:line="280" w:lineRule="exact"/>
              <w:jc w:val="center"/>
              <w:rPr>
                <w:vertAlign w:val="baseline"/>
              </w:rPr>
            </w:pPr>
            <w:r>
              <w:rPr>
                <w:rFonts w:hint="eastAsia" w:ascii="宋体" w:hAnsi="宋体" w:cs="宋体"/>
                <w:bCs/>
                <w:color w:val="000000"/>
                <w:sz w:val="28"/>
                <w:szCs w:val="28"/>
                <w:lang w:val="en-US" w:eastAsia="zh-CN"/>
              </w:rPr>
              <w:t>事项</w:t>
            </w:r>
            <w:r>
              <w:rPr>
                <w:rFonts w:hint="eastAsia" w:ascii="宋体" w:hAnsi="宋体" w:cs="宋体"/>
                <w:bCs/>
                <w:color w:val="000000"/>
                <w:sz w:val="28"/>
                <w:szCs w:val="28"/>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1980" w:type="dxa"/>
            <w:vAlign w:val="center"/>
          </w:tcPr>
          <w:p>
            <w:pPr>
              <w:numPr>
                <w:ilvl w:val="0"/>
                <w:numId w:val="1"/>
              </w:numPr>
              <w:ind w:left="425" w:leftChars="0" w:hanging="425" w:firstLineChars="0"/>
              <w:jc w:val="center"/>
              <w:rPr>
                <w:rFonts w:hint="eastAsia" w:ascii="仿宋" w:hAnsi="仿宋" w:eastAsia="仿宋" w:cs="仿宋"/>
                <w:color w:val="000000"/>
                <w:kern w:val="0"/>
                <w:sz w:val="28"/>
                <w:szCs w:val="28"/>
                <w:lang w:eastAsia="zh-CN"/>
              </w:rPr>
            </w:pPr>
          </w:p>
        </w:tc>
        <w:tc>
          <w:tcPr>
            <w:tcW w:w="1980" w:type="dxa"/>
            <w:vMerge w:val="restart"/>
            <w:vAlign w:val="center"/>
          </w:tcPr>
          <w:p>
            <w:pPr>
              <w:jc w:val="center"/>
              <w:rPr>
                <w:rFonts w:hint="eastAsia" w:ascii="仿宋" w:hAnsi="仿宋" w:eastAsia="仿宋" w:cs="仿宋"/>
                <w:sz w:val="28"/>
                <w:szCs w:val="28"/>
                <w:vertAlign w:val="baseline"/>
              </w:rPr>
            </w:pPr>
          </w:p>
          <w:p>
            <w:pPr>
              <w:jc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eastAsia="zh-CN"/>
              </w:rPr>
              <w:t>行政征收</w:t>
            </w:r>
          </w:p>
        </w:tc>
        <w:tc>
          <w:tcPr>
            <w:tcW w:w="1981" w:type="dxa"/>
            <w:vAlign w:val="center"/>
          </w:tcPr>
          <w:p>
            <w:pPr>
              <w:widowControl/>
              <w:jc w:val="center"/>
              <w:textAlignment w:val="center"/>
              <w:rPr>
                <w:rFonts w:hint="eastAsia" w:ascii="仿宋" w:hAnsi="仿宋" w:eastAsia="仿宋" w:cs="仿宋"/>
                <w:bCs/>
                <w:color w:val="000000"/>
                <w:sz w:val="28"/>
                <w:szCs w:val="28"/>
                <w:lang w:val="en-US" w:eastAsia="zh-CN"/>
              </w:rPr>
            </w:pPr>
            <w:r>
              <w:rPr>
                <w:rFonts w:hint="eastAsia" w:ascii="仿宋" w:hAnsi="仿宋" w:eastAsia="仿宋" w:cs="仿宋"/>
                <w:color w:val="000000"/>
                <w:kern w:val="0"/>
                <w:sz w:val="28"/>
                <w:szCs w:val="28"/>
                <w:lang w:val="en-US" w:eastAsia="zh-CN"/>
              </w:rPr>
              <w:t>1.1</w:t>
            </w:r>
          </w:p>
        </w:tc>
        <w:tc>
          <w:tcPr>
            <w:tcW w:w="3141" w:type="dxa"/>
            <w:vAlign w:val="center"/>
          </w:tcPr>
          <w:p>
            <w:pPr>
              <w:widowControl/>
              <w:jc w:val="left"/>
              <w:textAlignment w:val="center"/>
              <w:rPr>
                <w:rFonts w:hint="eastAsia" w:ascii="仿宋" w:hAnsi="仿宋" w:eastAsia="仿宋" w:cs="仿宋"/>
                <w:bCs/>
                <w:color w:val="000000"/>
                <w:sz w:val="28"/>
                <w:szCs w:val="28"/>
                <w:lang w:val="en-US" w:eastAsia="zh-CN"/>
              </w:rPr>
            </w:pPr>
            <w:r>
              <w:rPr>
                <w:rFonts w:hint="eastAsia" w:ascii="仿宋" w:hAnsi="仿宋" w:eastAsia="仿宋" w:cs="仿宋"/>
                <w:color w:val="000000"/>
                <w:kern w:val="0"/>
                <w:sz w:val="28"/>
                <w:szCs w:val="28"/>
              </w:rPr>
              <w:t>增值税征收管理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1980" w:type="dxa"/>
            <w:vAlign w:val="center"/>
          </w:tcPr>
          <w:p>
            <w:pPr>
              <w:widowControl/>
              <w:numPr>
                <w:ilvl w:val="0"/>
                <w:numId w:val="1"/>
              </w:numPr>
              <w:spacing w:line="280" w:lineRule="exact"/>
              <w:ind w:left="425" w:leftChars="0" w:hanging="425" w:firstLineChars="0"/>
              <w:jc w:val="center"/>
              <w:rPr>
                <w:rFonts w:hint="eastAsia" w:ascii="宋体" w:hAnsi="宋体" w:cs="宋体"/>
                <w:bCs/>
                <w:color w:val="000000"/>
                <w:sz w:val="28"/>
                <w:szCs w:val="28"/>
                <w:lang w:val="en-US" w:eastAsia="zh-CN"/>
              </w:rPr>
            </w:pPr>
          </w:p>
        </w:tc>
        <w:tc>
          <w:tcPr>
            <w:tcW w:w="1980" w:type="dxa"/>
            <w:vMerge w:val="continue"/>
            <w:vAlign w:val="center"/>
          </w:tcPr>
          <w:p>
            <w:pPr>
              <w:widowControl/>
              <w:spacing w:line="280" w:lineRule="exact"/>
              <w:jc w:val="center"/>
              <w:rPr>
                <w:rFonts w:hint="eastAsia" w:ascii="宋体" w:hAnsi="宋体" w:cs="宋体"/>
                <w:bCs/>
                <w:color w:val="000000"/>
                <w:sz w:val="28"/>
                <w:szCs w:val="28"/>
                <w:lang w:val="en-US" w:eastAsia="zh-CN"/>
              </w:rPr>
            </w:pPr>
          </w:p>
        </w:tc>
        <w:tc>
          <w:tcPr>
            <w:tcW w:w="1981" w:type="dxa"/>
            <w:vAlign w:val="center"/>
          </w:tcPr>
          <w:p>
            <w:pPr>
              <w:jc w:val="center"/>
              <w:rPr>
                <w:rFonts w:hint="eastAsia" w:ascii="仿宋" w:hAnsi="仿宋" w:eastAsia="仿宋" w:cs="仿宋"/>
                <w:bCs/>
                <w:color w:val="000000"/>
                <w:sz w:val="28"/>
                <w:szCs w:val="28"/>
                <w:lang w:val="en-US" w:eastAsia="zh-CN"/>
              </w:rPr>
            </w:pPr>
            <w:r>
              <w:rPr>
                <w:rFonts w:hint="eastAsia" w:ascii="仿宋" w:hAnsi="仿宋" w:eastAsia="仿宋" w:cs="仿宋"/>
                <w:color w:val="000000"/>
                <w:kern w:val="0"/>
                <w:sz w:val="28"/>
                <w:szCs w:val="28"/>
                <w:lang w:val="en-US" w:eastAsia="zh-CN"/>
              </w:rPr>
              <w:t>1.2</w:t>
            </w:r>
          </w:p>
        </w:tc>
        <w:tc>
          <w:tcPr>
            <w:tcW w:w="3141" w:type="dxa"/>
            <w:vAlign w:val="center"/>
          </w:tcPr>
          <w:p>
            <w:pPr>
              <w:jc w:val="left"/>
              <w:rPr>
                <w:rFonts w:hint="eastAsia" w:ascii="仿宋" w:hAnsi="仿宋" w:eastAsia="仿宋" w:cs="仿宋"/>
                <w:bCs/>
                <w:color w:val="000000"/>
                <w:sz w:val="28"/>
                <w:szCs w:val="28"/>
                <w:lang w:val="en-US" w:eastAsia="zh-CN"/>
              </w:rPr>
            </w:pPr>
            <w:r>
              <w:rPr>
                <w:rFonts w:hint="eastAsia" w:ascii="仿宋" w:hAnsi="仿宋" w:eastAsia="仿宋" w:cs="仿宋"/>
                <w:color w:val="000000"/>
                <w:kern w:val="0"/>
                <w:sz w:val="28"/>
                <w:szCs w:val="28"/>
              </w:rPr>
              <w:t>消费税征收管理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2" w:hRule="atLeast"/>
        </w:trPr>
        <w:tc>
          <w:tcPr>
            <w:tcW w:w="1980" w:type="dxa"/>
            <w:vAlign w:val="center"/>
          </w:tcPr>
          <w:p>
            <w:pPr>
              <w:widowControl/>
              <w:numPr>
                <w:ilvl w:val="0"/>
                <w:numId w:val="1"/>
              </w:numPr>
              <w:spacing w:line="280" w:lineRule="exact"/>
              <w:ind w:left="425" w:leftChars="0" w:hanging="425" w:firstLineChars="0"/>
              <w:jc w:val="center"/>
              <w:rPr>
                <w:rFonts w:hint="eastAsia" w:ascii="宋体" w:hAnsi="宋体" w:cs="宋体"/>
                <w:bCs/>
                <w:color w:val="000000"/>
                <w:sz w:val="28"/>
                <w:szCs w:val="28"/>
                <w:lang w:val="en-US" w:eastAsia="zh-CN"/>
              </w:rPr>
            </w:pPr>
          </w:p>
        </w:tc>
        <w:tc>
          <w:tcPr>
            <w:tcW w:w="1980" w:type="dxa"/>
            <w:vMerge w:val="continue"/>
            <w:vAlign w:val="center"/>
          </w:tcPr>
          <w:p>
            <w:pPr>
              <w:widowControl/>
              <w:spacing w:line="280" w:lineRule="exact"/>
              <w:jc w:val="center"/>
              <w:rPr>
                <w:rFonts w:hint="eastAsia" w:ascii="宋体" w:hAnsi="宋体" w:cs="宋体"/>
                <w:bCs/>
                <w:color w:val="000000"/>
                <w:sz w:val="28"/>
                <w:szCs w:val="28"/>
                <w:lang w:val="en-US" w:eastAsia="zh-CN"/>
              </w:rPr>
            </w:pPr>
          </w:p>
        </w:tc>
        <w:tc>
          <w:tcPr>
            <w:tcW w:w="1981" w:type="dxa"/>
            <w:vAlign w:val="center"/>
          </w:tcPr>
          <w:p>
            <w:pPr>
              <w:widowControl/>
              <w:jc w:val="center"/>
              <w:textAlignment w:val="center"/>
              <w:rPr>
                <w:rFonts w:hint="eastAsia" w:ascii="仿宋" w:hAnsi="仿宋" w:eastAsia="仿宋" w:cs="仿宋"/>
                <w:bCs/>
                <w:color w:val="000000"/>
                <w:sz w:val="28"/>
                <w:szCs w:val="28"/>
                <w:lang w:val="en-US" w:eastAsia="zh-CN"/>
              </w:rPr>
            </w:pPr>
            <w:r>
              <w:rPr>
                <w:rFonts w:hint="eastAsia" w:ascii="仿宋" w:hAnsi="仿宋" w:eastAsia="仿宋" w:cs="仿宋"/>
                <w:color w:val="000000"/>
                <w:kern w:val="0"/>
                <w:sz w:val="28"/>
                <w:szCs w:val="28"/>
                <w:lang w:val="en-US" w:eastAsia="zh-CN"/>
              </w:rPr>
              <w:t>1.3</w:t>
            </w:r>
          </w:p>
        </w:tc>
        <w:tc>
          <w:tcPr>
            <w:tcW w:w="3141" w:type="dxa"/>
            <w:vAlign w:val="center"/>
          </w:tcPr>
          <w:p>
            <w:pPr>
              <w:widowControl/>
              <w:jc w:val="left"/>
              <w:textAlignment w:val="center"/>
              <w:rPr>
                <w:rFonts w:hint="eastAsia" w:ascii="仿宋" w:hAnsi="仿宋" w:eastAsia="仿宋" w:cs="仿宋"/>
                <w:bCs/>
                <w:color w:val="000000"/>
                <w:sz w:val="28"/>
                <w:szCs w:val="28"/>
                <w:lang w:val="en-US" w:eastAsia="zh-CN"/>
              </w:rPr>
            </w:pPr>
            <w:r>
              <w:rPr>
                <w:rFonts w:hint="eastAsia" w:ascii="仿宋" w:hAnsi="仿宋" w:eastAsia="仿宋" w:cs="仿宋"/>
                <w:color w:val="000000"/>
                <w:kern w:val="0"/>
                <w:sz w:val="28"/>
                <w:szCs w:val="28"/>
              </w:rPr>
              <w:t>车辆购置税征收管理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1980" w:type="dxa"/>
            <w:vAlign w:val="center"/>
          </w:tcPr>
          <w:p>
            <w:pPr>
              <w:widowControl/>
              <w:numPr>
                <w:ilvl w:val="0"/>
                <w:numId w:val="1"/>
              </w:numPr>
              <w:spacing w:line="280" w:lineRule="exact"/>
              <w:ind w:left="425" w:leftChars="0" w:hanging="425" w:firstLineChars="0"/>
              <w:jc w:val="center"/>
              <w:rPr>
                <w:rFonts w:hint="eastAsia" w:ascii="宋体" w:hAnsi="宋体" w:cs="宋体"/>
                <w:bCs/>
                <w:color w:val="000000"/>
                <w:sz w:val="28"/>
                <w:szCs w:val="28"/>
                <w:lang w:val="en-US" w:eastAsia="zh-CN"/>
              </w:rPr>
            </w:pPr>
          </w:p>
        </w:tc>
        <w:tc>
          <w:tcPr>
            <w:tcW w:w="1980" w:type="dxa"/>
            <w:vMerge w:val="continue"/>
            <w:vAlign w:val="center"/>
          </w:tcPr>
          <w:p>
            <w:pPr>
              <w:widowControl/>
              <w:spacing w:line="280" w:lineRule="exact"/>
              <w:jc w:val="center"/>
              <w:rPr>
                <w:rFonts w:hint="eastAsia" w:ascii="宋体" w:hAnsi="宋体" w:cs="宋体"/>
                <w:bCs/>
                <w:color w:val="000000"/>
                <w:sz w:val="28"/>
                <w:szCs w:val="28"/>
                <w:lang w:val="en-US" w:eastAsia="zh-CN"/>
              </w:rPr>
            </w:pPr>
          </w:p>
        </w:tc>
        <w:tc>
          <w:tcPr>
            <w:tcW w:w="1981" w:type="dxa"/>
            <w:vAlign w:val="center"/>
          </w:tcPr>
          <w:p>
            <w:pPr>
              <w:widowControl/>
              <w:jc w:val="center"/>
              <w:textAlignment w:val="center"/>
              <w:rPr>
                <w:rFonts w:hint="eastAsia" w:ascii="仿宋" w:hAnsi="仿宋" w:eastAsia="仿宋" w:cs="仿宋"/>
                <w:bCs/>
                <w:color w:val="000000"/>
                <w:sz w:val="28"/>
                <w:szCs w:val="28"/>
                <w:lang w:val="en-US" w:eastAsia="zh-CN"/>
              </w:rPr>
            </w:pPr>
            <w:r>
              <w:rPr>
                <w:rFonts w:hint="eastAsia" w:ascii="仿宋" w:hAnsi="仿宋" w:eastAsia="仿宋" w:cs="仿宋"/>
                <w:color w:val="000000"/>
                <w:kern w:val="0"/>
                <w:sz w:val="28"/>
                <w:szCs w:val="28"/>
                <w:lang w:val="en-US" w:eastAsia="zh-CN"/>
              </w:rPr>
              <w:t>1.4</w:t>
            </w:r>
          </w:p>
        </w:tc>
        <w:tc>
          <w:tcPr>
            <w:tcW w:w="3141" w:type="dxa"/>
            <w:vAlign w:val="center"/>
          </w:tcPr>
          <w:p>
            <w:pPr>
              <w:widowControl/>
              <w:jc w:val="left"/>
              <w:textAlignment w:val="center"/>
              <w:rPr>
                <w:rFonts w:hint="eastAsia" w:ascii="仿宋" w:hAnsi="仿宋" w:eastAsia="仿宋" w:cs="仿宋"/>
                <w:bCs/>
                <w:color w:val="000000"/>
                <w:sz w:val="28"/>
                <w:szCs w:val="28"/>
                <w:lang w:val="en-US" w:eastAsia="zh-CN"/>
              </w:rPr>
            </w:pPr>
            <w:r>
              <w:rPr>
                <w:rFonts w:hint="eastAsia" w:ascii="仿宋" w:hAnsi="仿宋" w:eastAsia="仿宋" w:cs="仿宋"/>
                <w:color w:val="000000"/>
                <w:kern w:val="0"/>
                <w:sz w:val="28"/>
                <w:szCs w:val="28"/>
              </w:rPr>
              <w:t>企业所得税征收管理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1980" w:type="dxa"/>
            <w:vAlign w:val="center"/>
          </w:tcPr>
          <w:p>
            <w:pPr>
              <w:widowControl/>
              <w:numPr>
                <w:ilvl w:val="0"/>
                <w:numId w:val="1"/>
              </w:numPr>
              <w:spacing w:line="280" w:lineRule="exact"/>
              <w:ind w:left="425" w:leftChars="0" w:hanging="425" w:firstLineChars="0"/>
              <w:jc w:val="center"/>
              <w:rPr>
                <w:rFonts w:hint="eastAsia" w:ascii="宋体" w:hAnsi="宋体" w:cs="宋体"/>
                <w:bCs/>
                <w:color w:val="000000"/>
                <w:sz w:val="28"/>
                <w:szCs w:val="28"/>
                <w:lang w:val="en-US" w:eastAsia="zh-CN"/>
              </w:rPr>
            </w:pPr>
          </w:p>
        </w:tc>
        <w:tc>
          <w:tcPr>
            <w:tcW w:w="1980" w:type="dxa"/>
            <w:vMerge w:val="continue"/>
            <w:vAlign w:val="center"/>
          </w:tcPr>
          <w:p>
            <w:pPr>
              <w:widowControl/>
              <w:spacing w:line="280" w:lineRule="exact"/>
              <w:jc w:val="center"/>
              <w:rPr>
                <w:rFonts w:hint="eastAsia" w:ascii="宋体" w:hAnsi="宋体" w:cs="宋体"/>
                <w:bCs/>
                <w:color w:val="000000"/>
                <w:sz w:val="28"/>
                <w:szCs w:val="28"/>
                <w:lang w:val="en-US" w:eastAsia="zh-CN"/>
              </w:rPr>
            </w:pPr>
          </w:p>
        </w:tc>
        <w:tc>
          <w:tcPr>
            <w:tcW w:w="1981" w:type="dxa"/>
            <w:vAlign w:val="center"/>
          </w:tcPr>
          <w:p>
            <w:pPr>
              <w:jc w:val="center"/>
              <w:rPr>
                <w:rFonts w:hint="eastAsia" w:ascii="仿宋" w:hAnsi="仿宋" w:eastAsia="仿宋" w:cs="仿宋"/>
                <w:bCs/>
                <w:color w:val="000000"/>
                <w:sz w:val="28"/>
                <w:szCs w:val="28"/>
                <w:lang w:val="en-US" w:eastAsia="zh-CN"/>
              </w:rPr>
            </w:pPr>
            <w:r>
              <w:rPr>
                <w:rFonts w:hint="eastAsia" w:ascii="仿宋" w:hAnsi="仿宋" w:eastAsia="仿宋" w:cs="仿宋"/>
                <w:color w:val="000000"/>
                <w:sz w:val="28"/>
                <w:szCs w:val="28"/>
                <w:lang w:val="en-US" w:eastAsia="zh-CN"/>
              </w:rPr>
              <w:t>1.5</w:t>
            </w:r>
          </w:p>
        </w:tc>
        <w:tc>
          <w:tcPr>
            <w:tcW w:w="3141" w:type="dxa"/>
            <w:vAlign w:val="center"/>
          </w:tcPr>
          <w:p>
            <w:pPr>
              <w:jc w:val="left"/>
              <w:rPr>
                <w:rFonts w:hint="eastAsia" w:ascii="仿宋" w:hAnsi="仿宋" w:eastAsia="仿宋" w:cs="仿宋"/>
                <w:bCs/>
                <w:color w:val="000000"/>
                <w:sz w:val="28"/>
                <w:szCs w:val="28"/>
                <w:lang w:val="en-US" w:eastAsia="zh-CN"/>
              </w:rPr>
            </w:pPr>
            <w:r>
              <w:rPr>
                <w:rFonts w:hint="eastAsia" w:ascii="仿宋" w:hAnsi="仿宋" w:eastAsia="仿宋" w:cs="仿宋"/>
                <w:color w:val="000000"/>
                <w:sz w:val="28"/>
                <w:szCs w:val="28"/>
              </w:rPr>
              <w:t>个人所得税征收管理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1980" w:type="dxa"/>
            <w:vAlign w:val="center"/>
          </w:tcPr>
          <w:p>
            <w:pPr>
              <w:widowControl/>
              <w:numPr>
                <w:ilvl w:val="0"/>
                <w:numId w:val="1"/>
              </w:numPr>
              <w:spacing w:line="280" w:lineRule="exact"/>
              <w:ind w:left="425" w:leftChars="0" w:hanging="425" w:firstLineChars="0"/>
              <w:jc w:val="center"/>
              <w:rPr>
                <w:rFonts w:hint="eastAsia" w:ascii="宋体" w:hAnsi="宋体" w:cs="宋体"/>
                <w:bCs/>
                <w:color w:val="000000"/>
                <w:sz w:val="28"/>
                <w:szCs w:val="28"/>
                <w:lang w:val="en-US" w:eastAsia="zh-CN"/>
              </w:rPr>
            </w:pPr>
          </w:p>
        </w:tc>
        <w:tc>
          <w:tcPr>
            <w:tcW w:w="1980" w:type="dxa"/>
            <w:vMerge w:val="continue"/>
            <w:vAlign w:val="center"/>
          </w:tcPr>
          <w:p>
            <w:pPr>
              <w:widowControl/>
              <w:spacing w:line="280" w:lineRule="exact"/>
              <w:jc w:val="center"/>
              <w:rPr>
                <w:rFonts w:hint="eastAsia" w:ascii="宋体" w:hAnsi="宋体" w:cs="宋体"/>
                <w:bCs/>
                <w:color w:val="000000"/>
                <w:sz w:val="28"/>
                <w:szCs w:val="28"/>
                <w:lang w:val="en-US" w:eastAsia="zh-CN"/>
              </w:rPr>
            </w:pPr>
          </w:p>
        </w:tc>
        <w:tc>
          <w:tcPr>
            <w:tcW w:w="1981" w:type="dxa"/>
            <w:vAlign w:val="center"/>
          </w:tcPr>
          <w:p>
            <w:pPr>
              <w:widowControl/>
              <w:jc w:val="center"/>
              <w:textAlignment w:val="center"/>
              <w:rPr>
                <w:rFonts w:hint="eastAsia" w:ascii="仿宋" w:hAnsi="仿宋" w:eastAsia="仿宋" w:cs="仿宋"/>
                <w:bCs/>
                <w:color w:val="000000"/>
                <w:sz w:val="28"/>
                <w:szCs w:val="28"/>
                <w:lang w:val="en-US" w:eastAsia="zh-CN"/>
              </w:rPr>
            </w:pPr>
            <w:r>
              <w:rPr>
                <w:rFonts w:hint="eastAsia" w:ascii="仿宋" w:hAnsi="仿宋" w:eastAsia="仿宋" w:cs="仿宋"/>
                <w:color w:val="000000"/>
                <w:kern w:val="0"/>
                <w:sz w:val="28"/>
                <w:szCs w:val="28"/>
                <w:lang w:val="en-US" w:eastAsia="zh-CN"/>
              </w:rPr>
              <w:t>1.6</w:t>
            </w:r>
          </w:p>
        </w:tc>
        <w:tc>
          <w:tcPr>
            <w:tcW w:w="3141" w:type="dxa"/>
            <w:vAlign w:val="center"/>
          </w:tcPr>
          <w:p>
            <w:pPr>
              <w:widowControl/>
              <w:jc w:val="left"/>
              <w:textAlignment w:val="center"/>
              <w:rPr>
                <w:rFonts w:hint="eastAsia" w:ascii="仿宋" w:hAnsi="仿宋" w:eastAsia="仿宋" w:cs="仿宋"/>
                <w:bCs/>
                <w:color w:val="000000"/>
                <w:sz w:val="28"/>
                <w:szCs w:val="28"/>
                <w:lang w:val="en-US" w:eastAsia="zh-CN"/>
              </w:rPr>
            </w:pPr>
            <w:r>
              <w:rPr>
                <w:rFonts w:hint="eastAsia" w:ascii="仿宋" w:hAnsi="仿宋" w:eastAsia="仿宋" w:cs="仿宋"/>
                <w:color w:val="000000"/>
                <w:kern w:val="0"/>
                <w:sz w:val="28"/>
                <w:szCs w:val="28"/>
              </w:rPr>
              <w:t>土地增值税征收管理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trPr>
        <w:tc>
          <w:tcPr>
            <w:tcW w:w="1980" w:type="dxa"/>
            <w:vAlign w:val="center"/>
          </w:tcPr>
          <w:p>
            <w:pPr>
              <w:widowControl/>
              <w:numPr>
                <w:ilvl w:val="0"/>
                <w:numId w:val="1"/>
              </w:numPr>
              <w:spacing w:line="280" w:lineRule="exact"/>
              <w:ind w:left="425" w:leftChars="0" w:hanging="425" w:firstLineChars="0"/>
              <w:jc w:val="center"/>
              <w:rPr>
                <w:rFonts w:hint="eastAsia" w:ascii="宋体" w:hAnsi="宋体" w:cs="宋体"/>
                <w:bCs/>
                <w:color w:val="000000"/>
                <w:sz w:val="28"/>
                <w:szCs w:val="28"/>
                <w:lang w:val="en-US" w:eastAsia="zh-CN"/>
              </w:rPr>
            </w:pPr>
          </w:p>
        </w:tc>
        <w:tc>
          <w:tcPr>
            <w:tcW w:w="1980" w:type="dxa"/>
            <w:vMerge w:val="continue"/>
            <w:vAlign w:val="center"/>
          </w:tcPr>
          <w:p>
            <w:pPr>
              <w:widowControl/>
              <w:spacing w:line="280" w:lineRule="exact"/>
              <w:jc w:val="center"/>
              <w:rPr>
                <w:rFonts w:hint="eastAsia" w:ascii="宋体" w:hAnsi="宋体" w:cs="宋体"/>
                <w:bCs/>
                <w:color w:val="000000"/>
                <w:sz w:val="28"/>
                <w:szCs w:val="28"/>
                <w:lang w:val="en-US" w:eastAsia="zh-CN"/>
              </w:rPr>
            </w:pPr>
          </w:p>
        </w:tc>
        <w:tc>
          <w:tcPr>
            <w:tcW w:w="1981" w:type="dxa"/>
            <w:vAlign w:val="center"/>
          </w:tcPr>
          <w:p>
            <w:pPr>
              <w:widowControl/>
              <w:jc w:val="center"/>
              <w:textAlignment w:val="center"/>
              <w:rPr>
                <w:rFonts w:hint="eastAsia" w:ascii="仿宋" w:hAnsi="仿宋" w:eastAsia="仿宋" w:cs="仿宋"/>
                <w:bCs/>
                <w:color w:val="000000"/>
                <w:sz w:val="28"/>
                <w:szCs w:val="28"/>
                <w:lang w:val="en-US" w:eastAsia="zh-CN"/>
              </w:rPr>
            </w:pPr>
            <w:r>
              <w:rPr>
                <w:rFonts w:hint="eastAsia" w:ascii="仿宋" w:hAnsi="仿宋" w:eastAsia="仿宋" w:cs="仿宋"/>
                <w:color w:val="000000"/>
                <w:kern w:val="0"/>
                <w:sz w:val="28"/>
                <w:szCs w:val="28"/>
                <w:lang w:val="en-US" w:eastAsia="zh-CN"/>
              </w:rPr>
              <w:t>1.7</w:t>
            </w:r>
          </w:p>
        </w:tc>
        <w:tc>
          <w:tcPr>
            <w:tcW w:w="3141" w:type="dxa"/>
            <w:vAlign w:val="center"/>
          </w:tcPr>
          <w:p>
            <w:pPr>
              <w:widowControl/>
              <w:jc w:val="left"/>
              <w:textAlignment w:val="center"/>
              <w:rPr>
                <w:rFonts w:hint="eastAsia" w:ascii="仿宋" w:hAnsi="仿宋" w:eastAsia="仿宋" w:cs="仿宋"/>
                <w:bCs/>
                <w:color w:val="000000"/>
                <w:sz w:val="28"/>
                <w:szCs w:val="28"/>
                <w:lang w:val="en-US" w:eastAsia="zh-CN"/>
              </w:rPr>
            </w:pPr>
            <w:r>
              <w:rPr>
                <w:rFonts w:hint="eastAsia" w:ascii="仿宋" w:hAnsi="仿宋" w:eastAsia="仿宋" w:cs="仿宋"/>
                <w:color w:val="000000"/>
                <w:kern w:val="0"/>
                <w:sz w:val="28"/>
                <w:szCs w:val="28"/>
              </w:rPr>
              <w:t>房产税征收管理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1.8</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城镇土地使用税征收管理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1.9</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耕地占用税征收管理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1.10</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契税征收管理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1.11</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资源税征收管理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1.12</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车船税征收管理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1.13</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印花税征收管理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1.14</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城市维护建设税征收管理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1.15</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烟叶税征收管理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1.16</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环境保护税征收管理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1.17</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非居民纳税人享受协定待遇管理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1.18</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出口退（免）税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1.19</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个体工商户税收定期定额核定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1.20</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核定应纳税额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1.21</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多缴税款退（抵）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1.22</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税款追征追缴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1.23</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委托代征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1.24</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税收优先权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1.25</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代位权、撤销权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1.26</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未开具税收票证损失核销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1.27</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社会保险费征收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lang w:val="en-US" w:eastAsia="zh-CN"/>
              </w:rPr>
              <w:t>1.28</w:t>
            </w:r>
          </w:p>
        </w:tc>
        <w:tc>
          <w:tcPr>
            <w:tcW w:w="3141" w:type="dxa"/>
            <w:vAlign w:val="center"/>
          </w:tcPr>
          <w:p>
            <w:pPr>
              <w:jc w:val="both"/>
              <w:rPr>
                <w:rFonts w:hint="eastAsia" w:ascii="仿宋" w:hAnsi="仿宋" w:eastAsia="仿宋" w:cs="仿宋"/>
                <w:sz w:val="28"/>
                <w:szCs w:val="28"/>
                <w:vertAlign w:val="baseline"/>
              </w:rPr>
            </w:pPr>
            <w:r>
              <w:rPr>
                <w:rFonts w:hint="eastAsia" w:ascii="仿宋" w:hAnsi="仿宋" w:eastAsia="仿宋" w:cs="仿宋"/>
                <w:sz w:val="28"/>
                <w:szCs w:val="28"/>
              </w:rPr>
              <w:t>非税收入征收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restart"/>
            <w:vAlign w:val="center"/>
          </w:tcPr>
          <w:p>
            <w:pPr>
              <w:jc w:val="center"/>
              <w:rPr>
                <w:rFonts w:hint="eastAsia" w:ascii="仿宋" w:hAnsi="仿宋" w:eastAsia="仿宋" w:cs="仿宋"/>
                <w:color w:val="000000"/>
                <w:kern w:val="0"/>
                <w:sz w:val="28"/>
                <w:szCs w:val="28"/>
                <w:lang w:eastAsia="zh-CN"/>
              </w:rPr>
            </w:pPr>
            <w:r>
              <w:rPr>
                <w:rFonts w:hint="eastAsia" w:ascii="仿宋" w:hAnsi="仿宋" w:eastAsia="仿宋" w:cs="仿宋"/>
                <w:color w:val="000000"/>
                <w:kern w:val="0"/>
                <w:sz w:val="28"/>
                <w:szCs w:val="28"/>
                <w:lang w:eastAsia="zh-CN"/>
              </w:rPr>
              <w:t>行政强制</w:t>
            </w:r>
          </w:p>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2.1</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查封、扣押商品、货物或者其他财产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2.2</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冻结存款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2.3</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加处罚款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2.4</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强制扣缴税款、滞纳金、罚款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2.5</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拍卖、变卖商品、货物或者其他财产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color w:val="000000"/>
                <w:kern w:val="0"/>
                <w:sz w:val="28"/>
                <w:szCs w:val="28"/>
                <w:lang w:eastAsia="zh-CN"/>
              </w:rPr>
            </w:pPr>
          </w:p>
        </w:tc>
        <w:tc>
          <w:tcPr>
            <w:tcW w:w="1980" w:type="dxa"/>
            <w:vMerge w:val="restart"/>
            <w:vAlign w:val="center"/>
          </w:tcPr>
          <w:p>
            <w:pPr>
              <w:jc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eastAsia="zh-CN"/>
              </w:rPr>
              <w:t>行政检查</w:t>
            </w: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3.1</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税务检查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trPr>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tcBorders/>
            <w:vAlign w:val="center"/>
          </w:tcPr>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3.2</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特别纳税调整税务检查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trPr>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tcBorders/>
            <w:vAlign w:val="center"/>
          </w:tcPr>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3.3</w:t>
            </w:r>
          </w:p>
        </w:tc>
        <w:tc>
          <w:tcPr>
            <w:tcW w:w="3141" w:type="dxa"/>
            <w:vAlign w:val="center"/>
          </w:tcPr>
          <w:p>
            <w:pPr>
              <w:widowControl/>
              <w:jc w:val="both"/>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fldChar w:fldCharType="begin"/>
            </w:r>
            <w:r>
              <w:rPr>
                <w:rFonts w:hint="eastAsia" w:ascii="仿宋" w:hAnsi="仿宋" w:eastAsia="仿宋" w:cs="仿宋"/>
                <w:color w:val="000000"/>
                <w:kern w:val="0"/>
                <w:sz w:val="28"/>
                <w:szCs w:val="28"/>
              </w:rPr>
              <w:instrText xml:space="preserve"> HYPERLINK "http://shanxi.chinatax.gov.cn/xzzfgsptWeb/jcxxweb/swffj/32415" \t "_blank" </w:instrText>
            </w:r>
            <w:r>
              <w:rPr>
                <w:rFonts w:hint="eastAsia" w:ascii="仿宋" w:hAnsi="仿宋" w:eastAsia="仿宋" w:cs="仿宋"/>
                <w:color w:val="000000"/>
                <w:kern w:val="0"/>
                <w:sz w:val="28"/>
                <w:szCs w:val="28"/>
              </w:rPr>
              <w:fldChar w:fldCharType="separate"/>
            </w:r>
            <w:r>
              <w:rPr>
                <w:rFonts w:hint="eastAsia" w:ascii="仿宋" w:hAnsi="仿宋" w:eastAsia="仿宋" w:cs="仿宋"/>
                <w:color w:val="000000"/>
                <w:kern w:val="0"/>
                <w:sz w:val="28"/>
                <w:szCs w:val="28"/>
              </w:rPr>
              <w:t>查询社会保险费缴费单位存款账户</w:t>
            </w:r>
            <w:r>
              <w:rPr>
                <w:rFonts w:hint="default" w:ascii="仿宋" w:hAnsi="仿宋" w:eastAsia="仿宋" w:cs="仿宋"/>
                <w:color w:val="000000"/>
                <w:kern w:val="0"/>
                <w:sz w:val="28"/>
                <w:szCs w:val="2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restart"/>
            <w:vAlign w:val="center"/>
          </w:tcPr>
          <w:p>
            <w:pPr>
              <w:jc w:val="center"/>
              <w:rPr>
                <w:rFonts w:hint="eastAsia" w:ascii="仿宋" w:hAnsi="仿宋" w:eastAsia="仿宋" w:cs="仿宋"/>
                <w:sz w:val="28"/>
                <w:szCs w:val="28"/>
                <w:vertAlign w:val="baseline"/>
              </w:rPr>
            </w:pPr>
            <w:r>
              <w:rPr>
                <w:rFonts w:hint="eastAsia" w:ascii="仿宋" w:hAnsi="仿宋" w:eastAsia="仿宋" w:cs="仿宋"/>
                <w:sz w:val="28"/>
                <w:szCs w:val="28"/>
                <w:vertAlign w:val="baseline"/>
              </w:rPr>
              <w:t>行政处罚</w:t>
            </w:r>
          </w:p>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4.1</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对违反税务登记规定的处罚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4.2</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对违反账簿凭证管理规定的处罚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4.3</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对违反纳税申报规定的处罚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4.4</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对违反税款征收规定的处罚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4.5</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对违反税务检查管理的处罚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4.6</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对违反发票及票证管理规定的处罚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4.7</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对违反纳税担保规定的处罚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widowControl/>
              <w:numPr>
                <w:ilvl w:val="0"/>
                <w:numId w:val="1"/>
              </w:numPr>
              <w:ind w:left="425" w:leftChars="0" w:hanging="425" w:firstLineChars="0"/>
              <w:jc w:val="center"/>
              <w:textAlignment w:val="center"/>
              <w:rPr>
                <w:rFonts w:hint="eastAsia" w:ascii="仿宋" w:hAnsi="仿宋" w:eastAsia="仿宋" w:cs="仿宋"/>
                <w:color w:val="000000"/>
                <w:kern w:val="0"/>
                <w:sz w:val="28"/>
                <w:szCs w:val="28"/>
              </w:rPr>
            </w:pPr>
          </w:p>
        </w:tc>
        <w:tc>
          <w:tcPr>
            <w:tcW w:w="1980" w:type="dxa"/>
            <w:vMerge w:val="restart"/>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行政许可</w:t>
            </w: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5.1</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对纳税人延期申报的核准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widowControl/>
              <w:numPr>
                <w:ilvl w:val="0"/>
                <w:numId w:val="1"/>
              </w:numPr>
              <w:ind w:left="425" w:leftChars="0" w:hanging="425" w:firstLineChars="0"/>
              <w:jc w:val="center"/>
              <w:textAlignment w:val="center"/>
              <w:rPr>
                <w:rFonts w:hint="eastAsia" w:ascii="仿宋" w:hAnsi="仿宋" w:eastAsia="仿宋" w:cs="仿宋"/>
                <w:sz w:val="28"/>
                <w:szCs w:val="28"/>
                <w:vertAlign w:val="baseline"/>
              </w:rPr>
            </w:pPr>
          </w:p>
        </w:tc>
        <w:tc>
          <w:tcPr>
            <w:tcW w:w="1980" w:type="dxa"/>
            <w:vMerge w:val="continue"/>
            <w:vAlign w:val="center"/>
          </w:tcPr>
          <w:p>
            <w:pPr>
              <w:widowControl/>
              <w:jc w:val="center"/>
              <w:textAlignment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5.2</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对纳税人变更纳税定额的核准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widowControl/>
              <w:numPr>
                <w:ilvl w:val="0"/>
                <w:numId w:val="1"/>
              </w:numPr>
              <w:ind w:left="425" w:leftChars="0" w:hanging="425" w:firstLineChars="0"/>
              <w:jc w:val="center"/>
              <w:textAlignment w:val="center"/>
              <w:rPr>
                <w:rFonts w:hint="eastAsia" w:ascii="仿宋" w:hAnsi="仿宋" w:eastAsia="仿宋" w:cs="仿宋"/>
                <w:sz w:val="28"/>
                <w:szCs w:val="28"/>
                <w:vertAlign w:val="baseline"/>
              </w:rPr>
            </w:pPr>
          </w:p>
        </w:tc>
        <w:tc>
          <w:tcPr>
            <w:tcW w:w="1980" w:type="dxa"/>
            <w:vMerge w:val="continue"/>
            <w:vAlign w:val="center"/>
          </w:tcPr>
          <w:p>
            <w:pPr>
              <w:widowControl/>
              <w:jc w:val="center"/>
              <w:textAlignment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5.3</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增值税专用发票（增值税税控系统）最高开票限额审批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widowControl/>
              <w:numPr>
                <w:ilvl w:val="0"/>
                <w:numId w:val="1"/>
              </w:numPr>
              <w:ind w:left="425" w:leftChars="0" w:hanging="425" w:firstLineChars="0"/>
              <w:jc w:val="center"/>
              <w:textAlignment w:val="center"/>
              <w:rPr>
                <w:rFonts w:hint="eastAsia" w:ascii="仿宋" w:hAnsi="仿宋" w:eastAsia="仿宋" w:cs="仿宋"/>
                <w:sz w:val="28"/>
                <w:szCs w:val="28"/>
                <w:vertAlign w:val="baseline"/>
              </w:rPr>
            </w:pPr>
          </w:p>
        </w:tc>
        <w:tc>
          <w:tcPr>
            <w:tcW w:w="1980" w:type="dxa"/>
            <w:vMerge w:val="continue"/>
            <w:vAlign w:val="center"/>
          </w:tcPr>
          <w:p>
            <w:pPr>
              <w:widowControl/>
              <w:jc w:val="center"/>
              <w:textAlignment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5.4</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对采取实际利润额预缴以外的其他企业所得税预缴方式的核定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widowControl/>
              <w:numPr>
                <w:ilvl w:val="0"/>
                <w:numId w:val="1"/>
              </w:numPr>
              <w:ind w:left="425" w:leftChars="0" w:hanging="425" w:firstLineChars="0"/>
              <w:jc w:val="center"/>
              <w:textAlignment w:val="center"/>
              <w:rPr>
                <w:rFonts w:hint="eastAsia" w:ascii="仿宋" w:hAnsi="仿宋" w:eastAsia="仿宋" w:cs="仿宋"/>
                <w:color w:val="000000"/>
                <w:kern w:val="0"/>
                <w:sz w:val="28"/>
                <w:szCs w:val="28"/>
              </w:rPr>
            </w:pPr>
          </w:p>
        </w:tc>
        <w:tc>
          <w:tcPr>
            <w:tcW w:w="1980" w:type="dxa"/>
            <w:vMerge w:val="restart"/>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行政确认</w:t>
            </w: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6.1</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非正常户认定和解除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widowControl/>
              <w:numPr>
                <w:ilvl w:val="0"/>
                <w:numId w:val="1"/>
              </w:numPr>
              <w:ind w:left="425" w:leftChars="0" w:hanging="425" w:firstLineChars="0"/>
              <w:jc w:val="center"/>
              <w:textAlignment w:val="center"/>
              <w:rPr>
                <w:rFonts w:hint="eastAsia" w:ascii="仿宋" w:hAnsi="仿宋" w:eastAsia="仿宋" w:cs="仿宋"/>
                <w:sz w:val="28"/>
                <w:szCs w:val="28"/>
                <w:vertAlign w:val="baseline"/>
              </w:rPr>
            </w:pPr>
          </w:p>
        </w:tc>
        <w:tc>
          <w:tcPr>
            <w:tcW w:w="1980" w:type="dxa"/>
            <w:vMerge w:val="continue"/>
            <w:vAlign w:val="center"/>
          </w:tcPr>
          <w:p>
            <w:pPr>
              <w:widowControl/>
              <w:jc w:val="center"/>
              <w:textAlignment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6.2</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中国税收居民身份认定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widowControl/>
              <w:numPr>
                <w:ilvl w:val="0"/>
                <w:numId w:val="1"/>
              </w:numPr>
              <w:ind w:left="425" w:leftChars="0" w:hanging="425" w:firstLineChars="0"/>
              <w:jc w:val="center"/>
              <w:textAlignment w:val="center"/>
              <w:rPr>
                <w:rFonts w:hint="eastAsia" w:ascii="仿宋" w:hAnsi="仿宋" w:eastAsia="仿宋" w:cs="仿宋"/>
                <w:sz w:val="28"/>
                <w:szCs w:val="28"/>
                <w:vertAlign w:val="baseline"/>
              </w:rPr>
            </w:pPr>
          </w:p>
        </w:tc>
        <w:tc>
          <w:tcPr>
            <w:tcW w:w="1980" w:type="dxa"/>
            <w:vMerge w:val="continue"/>
            <w:vAlign w:val="center"/>
          </w:tcPr>
          <w:p>
            <w:pPr>
              <w:widowControl/>
              <w:jc w:val="center"/>
              <w:textAlignment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6.3</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境外注册的中资控股企业依据实际管理机构标准判定为中国居民企业的认定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widowControl/>
              <w:numPr>
                <w:ilvl w:val="0"/>
                <w:numId w:val="1"/>
              </w:numPr>
              <w:ind w:left="425" w:leftChars="0" w:hanging="425" w:firstLineChars="0"/>
              <w:jc w:val="center"/>
              <w:textAlignment w:val="center"/>
              <w:rPr>
                <w:rFonts w:hint="eastAsia" w:ascii="仿宋" w:hAnsi="仿宋" w:eastAsia="仿宋" w:cs="仿宋"/>
                <w:sz w:val="28"/>
                <w:szCs w:val="28"/>
                <w:vertAlign w:val="baseline"/>
              </w:rPr>
            </w:pPr>
          </w:p>
        </w:tc>
        <w:tc>
          <w:tcPr>
            <w:tcW w:w="1980" w:type="dxa"/>
            <w:vMerge w:val="continue"/>
            <w:vAlign w:val="center"/>
          </w:tcPr>
          <w:p>
            <w:pPr>
              <w:widowControl/>
              <w:jc w:val="center"/>
              <w:textAlignment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6.4</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对发票领用、印制、真伪的确认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widowControl/>
              <w:numPr>
                <w:ilvl w:val="0"/>
                <w:numId w:val="1"/>
              </w:numPr>
              <w:ind w:left="425" w:leftChars="0" w:hanging="425" w:firstLineChars="0"/>
              <w:jc w:val="center"/>
              <w:textAlignment w:val="center"/>
              <w:rPr>
                <w:rFonts w:hint="eastAsia" w:ascii="仿宋" w:hAnsi="仿宋" w:eastAsia="仿宋" w:cs="仿宋"/>
                <w:sz w:val="28"/>
                <w:szCs w:val="28"/>
                <w:vertAlign w:val="baseline"/>
              </w:rPr>
            </w:pPr>
          </w:p>
        </w:tc>
        <w:tc>
          <w:tcPr>
            <w:tcW w:w="1980" w:type="dxa"/>
            <w:vMerge w:val="continue"/>
            <w:vAlign w:val="center"/>
          </w:tcPr>
          <w:p>
            <w:pPr>
              <w:widowControl/>
              <w:jc w:val="center"/>
              <w:textAlignment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6.5</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对纳税担保的确认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widowControl/>
              <w:numPr>
                <w:ilvl w:val="0"/>
                <w:numId w:val="1"/>
              </w:numPr>
              <w:ind w:left="425" w:leftChars="0" w:hanging="425" w:firstLineChars="0"/>
              <w:jc w:val="center"/>
              <w:textAlignment w:val="center"/>
              <w:rPr>
                <w:rFonts w:hint="eastAsia" w:ascii="仿宋" w:hAnsi="仿宋" w:eastAsia="仿宋" w:cs="仿宋"/>
                <w:sz w:val="28"/>
                <w:szCs w:val="28"/>
                <w:vertAlign w:val="baseline"/>
              </w:rPr>
            </w:pPr>
          </w:p>
        </w:tc>
        <w:tc>
          <w:tcPr>
            <w:tcW w:w="1980" w:type="dxa"/>
            <w:vMerge w:val="continue"/>
            <w:vAlign w:val="center"/>
          </w:tcPr>
          <w:p>
            <w:pPr>
              <w:widowControl/>
              <w:jc w:val="center"/>
              <w:textAlignment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6.6</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纳税信用评价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widowControl/>
              <w:numPr>
                <w:ilvl w:val="0"/>
                <w:numId w:val="1"/>
              </w:numPr>
              <w:ind w:left="425" w:leftChars="0" w:hanging="425" w:firstLineChars="0"/>
              <w:jc w:val="center"/>
              <w:textAlignment w:val="center"/>
              <w:rPr>
                <w:rFonts w:hint="eastAsia" w:ascii="仿宋" w:hAnsi="仿宋" w:eastAsia="仿宋" w:cs="仿宋"/>
                <w:sz w:val="28"/>
                <w:szCs w:val="28"/>
                <w:vertAlign w:val="baseline"/>
              </w:rPr>
            </w:pPr>
          </w:p>
        </w:tc>
        <w:tc>
          <w:tcPr>
            <w:tcW w:w="1980" w:type="dxa"/>
            <w:vMerge w:val="continue"/>
            <w:vAlign w:val="center"/>
          </w:tcPr>
          <w:p>
            <w:pPr>
              <w:widowControl/>
              <w:jc w:val="center"/>
              <w:textAlignment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6.7</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出口退（免）税企业分类管理评定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widowControl/>
              <w:numPr>
                <w:ilvl w:val="0"/>
                <w:numId w:val="1"/>
              </w:numPr>
              <w:ind w:left="425" w:leftChars="0" w:hanging="425" w:firstLineChars="0"/>
              <w:jc w:val="center"/>
              <w:textAlignment w:val="center"/>
              <w:rPr>
                <w:rFonts w:hint="eastAsia" w:ascii="仿宋" w:hAnsi="仿宋" w:eastAsia="仿宋" w:cs="仿宋"/>
                <w:sz w:val="28"/>
                <w:szCs w:val="28"/>
                <w:vertAlign w:val="baseline"/>
              </w:rPr>
            </w:pPr>
          </w:p>
        </w:tc>
        <w:tc>
          <w:tcPr>
            <w:tcW w:w="1980" w:type="dxa"/>
            <w:vMerge w:val="continue"/>
            <w:vAlign w:val="center"/>
          </w:tcPr>
          <w:p>
            <w:pPr>
              <w:widowControl/>
              <w:jc w:val="center"/>
              <w:textAlignment w:val="center"/>
              <w:rPr>
                <w:rFonts w:hint="eastAsia" w:ascii="仿宋" w:hAnsi="仿宋" w:eastAsia="仿宋" w:cs="仿宋"/>
                <w:sz w:val="28"/>
                <w:szCs w:val="28"/>
                <w:vertAlign w:val="baseline"/>
              </w:rPr>
            </w:pPr>
          </w:p>
        </w:tc>
        <w:tc>
          <w:tcPr>
            <w:tcW w:w="1981" w:type="dxa"/>
            <w:vAlign w:val="center"/>
          </w:tcPr>
          <w:p>
            <w:pPr>
              <w:widowControl/>
              <w:jc w:val="center"/>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lang w:val="en-US" w:eastAsia="zh-CN"/>
              </w:rPr>
              <w:t>6.8</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退税商店确认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restart"/>
            <w:vAlign w:val="center"/>
          </w:tcPr>
          <w:p>
            <w:pPr>
              <w:jc w:val="cente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rPr>
              <w:t>其他</w:t>
            </w:r>
          </w:p>
        </w:tc>
        <w:tc>
          <w:tcPr>
            <w:tcW w:w="1981"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8.1</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加收滞纳金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8.2</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发布欠税公告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8.3</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对涉税专业服务机构的监管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8.4</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重大税务案件审理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8.5</w:t>
            </w:r>
          </w:p>
        </w:tc>
        <w:tc>
          <w:tcPr>
            <w:tcW w:w="3141" w:type="dxa"/>
            <w:vAlign w:val="center"/>
          </w:tcPr>
          <w:p>
            <w:pPr>
              <w:widowControl/>
              <w:jc w:val="both"/>
              <w:textAlignment w:val="center"/>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税收违法行为检举管理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8.6</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税务登记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8.7</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增值税一般纳税人资格登记（转登记）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8.8</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代开发票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8.9</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通知出入境管理机关阻止欠税人出境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80" w:type="dxa"/>
            <w:vAlign w:val="center"/>
          </w:tcPr>
          <w:p>
            <w:pPr>
              <w:numPr>
                <w:ilvl w:val="0"/>
                <w:numId w:val="1"/>
              </w:numPr>
              <w:ind w:left="425" w:leftChars="0" w:hanging="425" w:firstLineChars="0"/>
              <w:jc w:val="center"/>
              <w:rPr>
                <w:rFonts w:hint="eastAsia" w:ascii="仿宋" w:hAnsi="仿宋" w:eastAsia="仿宋" w:cs="仿宋"/>
                <w:sz w:val="28"/>
                <w:szCs w:val="28"/>
                <w:vertAlign w:val="baseline"/>
              </w:rPr>
            </w:pPr>
          </w:p>
        </w:tc>
        <w:tc>
          <w:tcPr>
            <w:tcW w:w="1980" w:type="dxa"/>
            <w:vMerge w:val="continue"/>
            <w:vAlign w:val="center"/>
          </w:tcPr>
          <w:p>
            <w:pPr>
              <w:jc w:val="center"/>
              <w:rPr>
                <w:rFonts w:hint="eastAsia" w:ascii="仿宋" w:hAnsi="仿宋" w:eastAsia="仿宋" w:cs="仿宋"/>
                <w:sz w:val="28"/>
                <w:szCs w:val="28"/>
                <w:vertAlign w:val="baseline"/>
              </w:rPr>
            </w:pPr>
          </w:p>
        </w:tc>
        <w:tc>
          <w:tcPr>
            <w:tcW w:w="1981" w:type="dxa"/>
            <w:vAlign w:val="center"/>
          </w:tcPr>
          <w:p>
            <w:pPr>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8.10</w:t>
            </w:r>
          </w:p>
        </w:tc>
        <w:tc>
          <w:tcPr>
            <w:tcW w:w="3141" w:type="dxa"/>
            <w:vAlign w:val="center"/>
          </w:tcPr>
          <w:p>
            <w:pPr>
              <w:widowControl/>
              <w:jc w:val="both"/>
              <w:textAlignment w:val="center"/>
              <w:rPr>
                <w:rFonts w:hint="eastAsia" w:ascii="仿宋" w:hAnsi="仿宋" w:eastAsia="仿宋" w:cs="仿宋"/>
                <w:sz w:val="28"/>
                <w:szCs w:val="28"/>
                <w:vertAlign w:val="baseline"/>
              </w:rPr>
            </w:pPr>
            <w:r>
              <w:rPr>
                <w:rFonts w:hint="eastAsia" w:ascii="仿宋" w:hAnsi="仿宋" w:eastAsia="仿宋" w:cs="仿宋"/>
                <w:color w:val="000000"/>
                <w:kern w:val="0"/>
                <w:sz w:val="28"/>
                <w:szCs w:val="28"/>
              </w:rPr>
              <w:t>收缴或停供发票</w:t>
            </w:r>
          </w:p>
        </w:tc>
      </w:tr>
    </w:tbl>
    <w:p>
      <w:pPr>
        <w:jc w:val="center"/>
        <w:rPr>
          <w:rFonts w:hint="eastAsia"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D2380"/>
    <w:multiLevelType w:val="singleLevel"/>
    <w:tmpl w:val="169D2380"/>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C2666C"/>
    <w:rsid w:val="0871136F"/>
    <w:rsid w:val="16185DB0"/>
    <w:rsid w:val="17AF04B8"/>
    <w:rsid w:val="30A70F0E"/>
    <w:rsid w:val="482F09A4"/>
    <w:rsid w:val="4DAF336E"/>
    <w:rsid w:val="4FB45FBE"/>
    <w:rsid w:val="59AC5E8F"/>
    <w:rsid w:val="66AD0CDE"/>
    <w:rsid w:val="70C2666C"/>
    <w:rsid w:val="777546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napToGrid w:val="0"/>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2021-02-02T02:44:00Z</dcterms:created>
  <dc:creator> </dc:creator>
  <cp:lastModifiedBy> </cp:lastModifiedBy>
  <cp:lastPrinted>2021-04-01T06:35:00Z</cp:lastPrinted>
  <dcterms:modified xsi:type="dcterms:W3CDTF">2021-06-17T01:44:44Z</dcterms:modified>
  <dc:title>附件1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y fmtid="{D5CDD505-2E9C-101B-9397-08002B2CF9AE}" pid="3" name="ICV">
    <vt:lpwstr>301BEC096BFF4768827646004312548A</vt:lpwstr>
  </property>
</Properties>
</file>