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rPr>
        <w:t>附件</w:t>
      </w:r>
      <w:r>
        <w:rPr>
          <w:rFonts w:hint="eastAsia" w:ascii="黑体" w:hAnsi="黑体" w:eastAsia="黑体" w:cs="黑体"/>
          <w:b w:val="0"/>
          <w:sz w:val="32"/>
          <w:szCs w:val="32"/>
          <w:lang w:val="en-US" w:eastAsia="zh-CN"/>
        </w:rPr>
        <w:t>4</w:t>
      </w:r>
    </w:p>
    <w:p>
      <w:pPr>
        <w:rPr>
          <w:rFonts w:hint="eastAsia"/>
        </w:rPr>
      </w:pPr>
    </w:p>
    <w:p>
      <w:pPr>
        <w:jc w:val="center"/>
        <w:rPr>
          <w:rFonts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阳高县气象灾害应急工作组及职责</w:t>
      </w:r>
    </w:p>
    <w:bookmarkEnd w:id="0"/>
    <w:p>
      <w:pPr>
        <w:spacing w:line="168" w:lineRule="exact"/>
      </w:pPr>
    </w:p>
    <w:tbl>
      <w:tblPr>
        <w:tblStyle w:val="8"/>
        <w:tblW w:w="13629" w:type="dxa"/>
        <w:tblInd w:w="2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249"/>
        <w:gridCol w:w="8"/>
        <w:gridCol w:w="4078"/>
        <w:gridCol w:w="6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719" w:type="dxa"/>
            <w:gridSpan w:val="4"/>
            <w:noWrap/>
          </w:tcPr>
          <w:p>
            <w:pPr>
              <w:pStyle w:val="7"/>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4"/>
                <w:sz w:val="28"/>
                <w:szCs w:val="28"/>
              </w:rPr>
              <w:t>应急工作组组成</w:t>
            </w:r>
          </w:p>
        </w:tc>
        <w:tc>
          <w:tcPr>
            <w:tcW w:w="6910" w:type="dxa"/>
            <w:noWrap/>
          </w:tcPr>
          <w:p>
            <w:pPr>
              <w:pStyle w:val="7"/>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8"/>
                <w:sz w:val="28"/>
                <w:szCs w:val="28"/>
              </w:rPr>
              <w:t>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84"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39" w:lineRule="auto"/>
              <w:ind w:left="0" w:right="0" w:firstLine="13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5"/>
                <w:sz w:val="24"/>
                <w:szCs w:val="24"/>
              </w:rPr>
              <w:t>综合</w:t>
            </w:r>
            <w:r>
              <w:rPr>
                <w:rFonts w:hint="eastAsia" w:ascii="仿宋_GB2312" w:hAnsi="仿宋_GB2312" w:eastAsia="仿宋_GB2312" w:cs="仿宋_GB2312"/>
                <w:spacing w:val="-4"/>
                <w:sz w:val="24"/>
                <w:szCs w:val="24"/>
              </w:rPr>
              <w:t>协调组</w:t>
            </w:r>
          </w:p>
        </w:tc>
        <w:tc>
          <w:tcPr>
            <w:tcW w:w="1249" w:type="dxa"/>
            <w:noWrap/>
            <w:vAlign w:val="center"/>
          </w:tcPr>
          <w:p>
            <w:pPr>
              <w:pStyle w:val="7"/>
              <w:keepNext w:val="0"/>
              <w:keepLines w:val="0"/>
              <w:pageBreakBefore w:val="0"/>
              <w:widowControl w:val="0"/>
              <w:kinsoku/>
              <w:wordWrap/>
              <w:overflowPunct/>
              <w:topLinePunct w:val="0"/>
              <w:autoSpaceDE/>
              <w:autoSpaceDN/>
              <w:bidi w:val="0"/>
              <w:adjustRightInd/>
              <w:snapToGrid/>
              <w:spacing w:line="223" w:lineRule="auto"/>
              <w:ind w:left="0" w:right="0"/>
              <w:jc w:val="center"/>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rPr>
              <w:t>组长</w:t>
            </w:r>
            <w:r>
              <w:rPr>
                <w:rFonts w:hint="eastAsia" w:ascii="仿宋_GB2312" w:hAnsi="仿宋_GB2312" w:eastAsia="仿宋_GB2312" w:cs="仿宋_GB2312"/>
                <w:spacing w:val="5"/>
                <w:sz w:val="24"/>
                <w:szCs w:val="24"/>
                <w:lang w:eastAsia="zh-CN"/>
              </w:rPr>
              <w:t>单位</w:t>
            </w:r>
          </w:p>
        </w:tc>
        <w:tc>
          <w:tcPr>
            <w:tcW w:w="4086"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left"/>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县政府协助工作的办公室副主任</w:t>
            </w:r>
          </w:p>
        </w:tc>
        <w:tc>
          <w:tcPr>
            <w:tcW w:w="6910"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both"/>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负责指挥部的日常联络、提供决策服务等应急综合协调工作。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384"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仿宋_GB2312" w:hAnsi="仿宋_GB2312" w:eastAsia="仿宋_GB2312" w:cs="仿宋_GB2312"/>
                <w:sz w:val="24"/>
                <w:szCs w:val="24"/>
              </w:rPr>
            </w:pPr>
          </w:p>
        </w:tc>
        <w:tc>
          <w:tcPr>
            <w:tcW w:w="1249" w:type="dxa"/>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成员单位</w:t>
            </w:r>
          </w:p>
        </w:tc>
        <w:tc>
          <w:tcPr>
            <w:tcW w:w="4086"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21" w:lineRule="auto"/>
              <w:ind w:left="108" w:right="0" w:hanging="108"/>
              <w:jc w:val="left"/>
              <w:textAlignment w:val="auto"/>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县委宣传部、县发科局、县公安局、</w:t>
            </w:r>
          </w:p>
          <w:p>
            <w:pPr>
              <w:pStyle w:val="7"/>
              <w:keepNext w:val="0"/>
              <w:keepLines w:val="0"/>
              <w:pageBreakBefore w:val="0"/>
              <w:widowControl w:val="0"/>
              <w:kinsoku/>
              <w:wordWrap/>
              <w:overflowPunct/>
              <w:topLinePunct w:val="0"/>
              <w:autoSpaceDE/>
              <w:autoSpaceDN/>
              <w:bidi w:val="0"/>
              <w:adjustRightInd/>
              <w:snapToGrid/>
              <w:spacing w:line="221" w:lineRule="auto"/>
              <w:ind w:left="108" w:right="0" w:hanging="108"/>
              <w:jc w:val="left"/>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县应</w:t>
            </w:r>
            <w:r>
              <w:rPr>
                <w:rFonts w:hint="eastAsia" w:ascii="仿宋_GB2312" w:hAnsi="仿宋_GB2312" w:eastAsia="仿宋_GB2312" w:cs="仿宋_GB2312"/>
                <w:spacing w:val="1"/>
                <w:sz w:val="24"/>
                <w:szCs w:val="24"/>
                <w:lang w:eastAsia="zh-CN"/>
              </w:rPr>
              <w:t>急管理局、县气象局</w:t>
            </w:r>
          </w:p>
        </w:tc>
        <w:tc>
          <w:tcPr>
            <w:tcW w:w="6910"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both"/>
              <w:textAlignment w:val="auto"/>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384"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31" w:lineRule="auto"/>
              <w:ind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10"/>
                <w:sz w:val="24"/>
                <w:szCs w:val="24"/>
              </w:rPr>
              <w:t>监测</w:t>
            </w:r>
            <w:r>
              <w:rPr>
                <w:rFonts w:hint="eastAsia" w:ascii="仿宋_GB2312" w:hAnsi="仿宋_GB2312" w:eastAsia="仿宋_GB2312" w:cs="仿宋_GB2312"/>
                <w:spacing w:val="2"/>
                <w:sz w:val="24"/>
                <w:szCs w:val="24"/>
              </w:rPr>
              <w:t>预警组</w:t>
            </w:r>
          </w:p>
        </w:tc>
        <w:tc>
          <w:tcPr>
            <w:tcW w:w="1249" w:type="dxa"/>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组长单位</w:t>
            </w:r>
          </w:p>
        </w:tc>
        <w:tc>
          <w:tcPr>
            <w:tcW w:w="4086"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left"/>
              <w:textAlignment w:val="auto"/>
              <w:rPr>
                <w:rFonts w:ascii="仿宋_GB2312" w:hAnsi="仿宋_GB2312" w:eastAsia="仿宋_GB2312" w:cs="仿宋_GB2312"/>
                <w:sz w:val="24"/>
                <w:szCs w:val="24"/>
              </w:rPr>
            </w:pPr>
            <w:r>
              <w:rPr>
                <w:rFonts w:hint="eastAsia" w:ascii="仿宋_GB2312" w:hAnsi="仿宋_GB2312" w:eastAsia="仿宋_GB2312" w:cs="仿宋_GB2312"/>
                <w:spacing w:val="5"/>
                <w:sz w:val="24"/>
                <w:szCs w:val="24"/>
              </w:rPr>
              <w:t>县气象局</w:t>
            </w:r>
          </w:p>
        </w:tc>
        <w:tc>
          <w:tcPr>
            <w:tcW w:w="6910"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17" w:lineRule="auto"/>
              <w:ind w:left="0" w:right="0"/>
              <w:jc w:val="both"/>
              <w:textAlignment w:val="auto"/>
              <w:rPr>
                <w:rFonts w:ascii="仿宋_GB2312" w:hAnsi="仿宋_GB2312" w:eastAsia="仿宋_GB2312" w:cs="仿宋_GB2312"/>
                <w:sz w:val="24"/>
                <w:szCs w:val="24"/>
                <w:lang w:eastAsia="zh-CN"/>
              </w:rPr>
            </w:pPr>
            <w:r>
              <w:rPr>
                <w:rFonts w:ascii="仿宋_GB2312" w:hAnsi="仿宋_GB2312" w:eastAsia="仿宋_GB2312" w:cs="仿宋_GB2312"/>
                <w:spacing w:val="2"/>
                <w:sz w:val="24"/>
                <w:szCs w:val="24"/>
                <w:lang w:eastAsia="zh-CN"/>
              </w:rPr>
              <w:t>负责</w:t>
            </w:r>
            <w:r>
              <w:rPr>
                <w:rFonts w:hint="eastAsia" w:ascii="仿宋_GB2312" w:hAnsi="仿宋_GB2312" w:eastAsia="仿宋_GB2312" w:cs="仿宋_GB2312"/>
                <w:spacing w:val="2"/>
                <w:sz w:val="24"/>
                <w:szCs w:val="24"/>
                <w:lang w:eastAsia="zh-CN"/>
              </w:rPr>
              <w:t>气象灾害</w:t>
            </w:r>
            <w:r>
              <w:rPr>
                <w:rFonts w:ascii="仿宋_GB2312" w:hAnsi="仿宋_GB2312" w:eastAsia="仿宋_GB2312" w:cs="仿宋_GB2312"/>
                <w:spacing w:val="2"/>
                <w:sz w:val="24"/>
                <w:szCs w:val="24"/>
                <w:lang w:eastAsia="zh-CN"/>
              </w:rPr>
              <w:t>、山洪及地质灾害、城市内涝、森林火险等</w:t>
            </w:r>
            <w:r>
              <w:rPr>
                <w:rFonts w:ascii="仿宋_GB2312" w:hAnsi="仿宋_GB2312" w:eastAsia="仿宋_GB2312" w:cs="仿宋_GB2312"/>
                <w:sz w:val="24"/>
                <w:szCs w:val="24"/>
                <w:lang w:eastAsia="zh-CN"/>
              </w:rPr>
              <w:t>次</w:t>
            </w:r>
            <w:r>
              <w:rPr>
                <w:rFonts w:ascii="仿宋_GB2312" w:hAnsi="仿宋_GB2312" w:eastAsia="仿宋_GB2312" w:cs="仿宋_GB2312"/>
                <w:spacing w:val="2"/>
                <w:sz w:val="24"/>
                <w:szCs w:val="24"/>
                <w:lang w:eastAsia="zh-CN"/>
              </w:rPr>
              <w:t>生灾害的监测、预报和</w:t>
            </w:r>
            <w:r>
              <w:rPr>
                <w:rFonts w:ascii="仿宋_GB2312" w:hAnsi="仿宋_GB2312" w:eastAsia="仿宋_GB2312" w:cs="仿宋_GB2312"/>
                <w:sz w:val="24"/>
                <w:szCs w:val="24"/>
                <w:lang w:eastAsia="zh-CN"/>
              </w:rPr>
              <w:t>预警工作</w:t>
            </w:r>
            <w:r>
              <w:rPr>
                <w:rFonts w:hint="eastAsia" w:ascii="仿宋_GB2312" w:hAnsi="仿宋_GB2312" w:eastAsia="仿宋_GB2312" w:cs="仿宋_GB2312"/>
                <w:sz w:val="24"/>
                <w:szCs w:val="24"/>
                <w:lang w:eastAsia="zh-CN"/>
              </w:rPr>
              <w:t>，并及时向市指挥部报告</w:t>
            </w:r>
            <w:r>
              <w:rPr>
                <w:rFonts w:hint="eastAsia" w:ascii="仿宋_GB2312" w:hAnsi="仿宋_GB2312" w:eastAsia="仿宋_GB2312" w:cs="仿宋_GB2312"/>
                <w:spacing w:val="-1"/>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384"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仿宋_GB2312" w:hAnsi="仿宋_GB2312" w:eastAsia="仿宋_GB2312" w:cs="仿宋_GB2312"/>
                <w:sz w:val="24"/>
                <w:szCs w:val="24"/>
              </w:rPr>
            </w:pPr>
          </w:p>
        </w:tc>
        <w:tc>
          <w:tcPr>
            <w:tcW w:w="1249" w:type="dxa"/>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成员单位</w:t>
            </w:r>
          </w:p>
        </w:tc>
        <w:tc>
          <w:tcPr>
            <w:tcW w:w="4086"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22" w:lineRule="auto"/>
              <w:ind w:left="0" w:right="0"/>
              <w:jc w:val="left"/>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县自然资源局、市生态环境局阳高分</w:t>
            </w:r>
            <w:r>
              <w:rPr>
                <w:rFonts w:hint="eastAsia" w:ascii="仿宋_GB2312" w:hAnsi="仿宋_GB2312" w:eastAsia="仿宋_GB2312" w:cs="仿宋_GB2312"/>
                <w:spacing w:val="-1"/>
                <w:sz w:val="24"/>
                <w:szCs w:val="24"/>
                <w:lang w:eastAsia="zh-CN"/>
              </w:rPr>
              <w:t>局、县住建局、县水务局、县应急管理</w:t>
            </w:r>
            <w:r>
              <w:rPr>
                <w:rFonts w:hint="eastAsia" w:ascii="仿宋_GB2312" w:hAnsi="仿宋_GB2312" w:eastAsia="仿宋_GB2312" w:cs="仿宋_GB2312"/>
                <w:spacing w:val="6"/>
                <w:sz w:val="24"/>
                <w:szCs w:val="24"/>
                <w:lang w:eastAsia="zh-CN"/>
              </w:rPr>
              <w:t>局、县林业局、县公用事业服务中心</w:t>
            </w:r>
          </w:p>
        </w:tc>
        <w:tc>
          <w:tcPr>
            <w:tcW w:w="6910"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both"/>
              <w:textAlignment w:val="auto"/>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384"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31" w:lineRule="auto"/>
              <w:ind w:left="0" w:right="0" w:firstLine="13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7"/>
                <w:sz w:val="24"/>
                <w:szCs w:val="24"/>
              </w:rPr>
              <w:t>现场</w:t>
            </w:r>
            <w:r>
              <w:rPr>
                <w:rFonts w:hint="eastAsia" w:ascii="仿宋_GB2312" w:hAnsi="仿宋_GB2312" w:eastAsia="仿宋_GB2312" w:cs="仿宋_GB2312"/>
                <w:spacing w:val="-4"/>
                <w:sz w:val="24"/>
                <w:szCs w:val="24"/>
              </w:rPr>
              <w:t>抢险组</w:t>
            </w:r>
          </w:p>
        </w:tc>
        <w:tc>
          <w:tcPr>
            <w:tcW w:w="1249" w:type="dxa"/>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组长单位</w:t>
            </w:r>
          </w:p>
        </w:tc>
        <w:tc>
          <w:tcPr>
            <w:tcW w:w="4086"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left"/>
              <w:textAlignment w:val="auto"/>
              <w:rPr>
                <w:rFonts w:ascii="仿宋_GB2312" w:hAnsi="仿宋_GB2312" w:eastAsia="仿宋_GB2312" w:cs="仿宋_GB2312"/>
                <w:sz w:val="24"/>
                <w:szCs w:val="24"/>
              </w:rPr>
            </w:pPr>
            <w:r>
              <w:rPr>
                <w:rFonts w:hint="eastAsia" w:ascii="仿宋_GB2312" w:hAnsi="仿宋_GB2312" w:eastAsia="仿宋_GB2312" w:cs="仿宋_GB2312"/>
                <w:spacing w:val="3"/>
                <w:sz w:val="24"/>
                <w:szCs w:val="24"/>
              </w:rPr>
              <w:t>县应急管理局</w:t>
            </w:r>
          </w:p>
        </w:tc>
        <w:tc>
          <w:tcPr>
            <w:tcW w:w="6910"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45" w:lineRule="auto"/>
              <w:ind w:left="91" w:right="0" w:hanging="91"/>
              <w:jc w:val="both"/>
              <w:textAlignment w:val="auto"/>
              <w:rPr>
                <w:rFonts w:ascii="仿宋_GB2312" w:hAnsi="仿宋_GB2312" w:eastAsia="仿宋_GB2312" w:cs="仿宋_GB2312"/>
                <w:sz w:val="24"/>
                <w:szCs w:val="24"/>
                <w:lang w:eastAsia="zh-CN"/>
              </w:rPr>
            </w:pPr>
            <w:r>
              <w:rPr>
                <w:rFonts w:ascii="仿宋_GB2312" w:hAnsi="仿宋_GB2312" w:eastAsia="仿宋_GB2312" w:cs="仿宋_GB2312"/>
                <w:spacing w:val="2"/>
                <w:sz w:val="24"/>
                <w:szCs w:val="24"/>
                <w:lang w:eastAsia="zh-CN"/>
              </w:rPr>
              <w:t>负责气象灾害事件中人员搜</w:t>
            </w:r>
            <w:r>
              <w:rPr>
                <w:rFonts w:ascii="仿宋_GB2312" w:hAnsi="仿宋_GB2312" w:eastAsia="仿宋_GB2312" w:cs="仿宋_GB2312"/>
                <w:sz w:val="24"/>
                <w:szCs w:val="24"/>
                <w:lang w:eastAsia="zh-CN"/>
              </w:rPr>
              <w:t>救</w:t>
            </w:r>
            <w:r>
              <w:rPr>
                <w:rFonts w:ascii="仿宋_GB2312" w:hAnsi="仿宋_GB2312" w:eastAsia="仿宋_GB2312" w:cs="仿宋_GB2312"/>
                <w:spacing w:val="2"/>
                <w:sz w:val="24"/>
                <w:szCs w:val="24"/>
                <w:lang w:eastAsia="zh-CN"/>
              </w:rPr>
              <w:t>、隐患消除、公路通行</w:t>
            </w:r>
            <w:r>
              <w:rPr>
                <w:rFonts w:ascii="仿宋_GB2312" w:hAnsi="仿宋_GB2312" w:eastAsia="仿宋_GB2312" w:cs="仿宋_GB2312"/>
                <w:sz w:val="24"/>
                <w:szCs w:val="24"/>
                <w:lang w:eastAsia="zh-CN"/>
              </w:rPr>
              <w:t>能力恢复和灾害破坏程度鉴定等工作</w:t>
            </w:r>
            <w:r>
              <w:rPr>
                <w:rFonts w:hint="eastAsia" w:ascii="仿宋_GB2312" w:hAnsi="仿宋_GB2312" w:eastAsia="仿宋_GB2312" w:cs="仿宋_GB231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trPr>
        <w:tc>
          <w:tcPr>
            <w:tcW w:w="1384"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仿宋_GB2312" w:hAnsi="仿宋_GB2312" w:eastAsia="仿宋_GB2312" w:cs="仿宋_GB2312"/>
                <w:sz w:val="24"/>
                <w:szCs w:val="24"/>
              </w:rPr>
            </w:pPr>
          </w:p>
        </w:tc>
        <w:tc>
          <w:tcPr>
            <w:tcW w:w="1249" w:type="dxa"/>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成员单位</w:t>
            </w:r>
          </w:p>
        </w:tc>
        <w:tc>
          <w:tcPr>
            <w:tcW w:w="4086"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25" w:lineRule="auto"/>
              <w:ind w:left="0" w:right="0"/>
              <w:jc w:val="left"/>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县教育局、县公安局、县自然资源局、</w:t>
            </w:r>
            <w:r>
              <w:rPr>
                <w:rFonts w:hint="eastAsia" w:ascii="仿宋_GB2312" w:hAnsi="仿宋_GB2312" w:eastAsia="仿宋_GB2312" w:cs="仿宋_GB2312"/>
                <w:spacing w:val="-8"/>
                <w:sz w:val="24"/>
                <w:szCs w:val="24"/>
                <w:lang w:eastAsia="zh-CN"/>
              </w:rPr>
              <w:t>市生态环境局阳高分局、县住建局、县</w:t>
            </w:r>
            <w:r>
              <w:rPr>
                <w:rFonts w:hint="eastAsia" w:ascii="仿宋_GB2312" w:hAnsi="仿宋_GB2312" w:eastAsia="仿宋_GB2312" w:cs="仿宋_GB2312"/>
                <w:spacing w:val="-7"/>
                <w:sz w:val="24"/>
                <w:szCs w:val="24"/>
                <w:lang w:eastAsia="zh-CN"/>
              </w:rPr>
              <w:t>交通局、县水务局、县文旅局、县公用</w:t>
            </w:r>
            <w:r>
              <w:rPr>
                <w:rFonts w:hint="eastAsia" w:ascii="仿宋_GB2312" w:hAnsi="仿宋_GB2312" w:eastAsia="仿宋_GB2312" w:cs="仿宋_GB2312"/>
                <w:spacing w:val="-8"/>
                <w:sz w:val="24"/>
                <w:szCs w:val="24"/>
                <w:lang w:eastAsia="zh-CN"/>
              </w:rPr>
              <w:t>事业服务中心、县人武部、武警阳高中</w:t>
            </w:r>
            <w:r>
              <w:rPr>
                <w:rFonts w:hint="eastAsia" w:ascii="仿宋_GB2312" w:hAnsi="仿宋_GB2312" w:eastAsia="仿宋_GB2312" w:cs="仿宋_GB2312"/>
                <w:spacing w:val="6"/>
                <w:sz w:val="24"/>
                <w:szCs w:val="24"/>
                <w:lang w:eastAsia="zh-CN"/>
              </w:rPr>
              <w:t>队、县消防救援大队</w:t>
            </w:r>
          </w:p>
        </w:tc>
        <w:tc>
          <w:tcPr>
            <w:tcW w:w="6910"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both"/>
              <w:textAlignment w:val="auto"/>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353" w:hRule="atLeast"/>
        </w:trPr>
        <w:tc>
          <w:tcPr>
            <w:tcW w:w="1384"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31" w:lineRule="auto"/>
              <w:ind w:left="0" w:right="0" w:firstLine="1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6"/>
                <w:sz w:val="24"/>
                <w:szCs w:val="24"/>
              </w:rPr>
              <w:t>医学</w:t>
            </w:r>
            <w:r>
              <w:rPr>
                <w:rFonts w:hint="eastAsia" w:ascii="仿宋_GB2312" w:hAnsi="仿宋_GB2312" w:eastAsia="仿宋_GB2312" w:cs="仿宋_GB2312"/>
                <w:spacing w:val="-4"/>
                <w:sz w:val="24"/>
                <w:szCs w:val="24"/>
              </w:rPr>
              <w:t>救援组</w:t>
            </w:r>
          </w:p>
        </w:tc>
        <w:tc>
          <w:tcPr>
            <w:tcW w:w="1257"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组长单位</w:t>
            </w:r>
          </w:p>
        </w:tc>
        <w:tc>
          <w:tcPr>
            <w:tcW w:w="4078" w:type="dxa"/>
            <w:noWrap/>
            <w:vAlign w:val="center"/>
          </w:tcPr>
          <w:p>
            <w:pPr>
              <w:pStyle w:val="7"/>
              <w:keepNext w:val="0"/>
              <w:keepLines w:val="0"/>
              <w:pageBreakBefore w:val="0"/>
              <w:widowControl w:val="0"/>
              <w:kinsoku/>
              <w:wordWrap/>
              <w:overflowPunct/>
              <w:topLinePunct w:val="0"/>
              <w:autoSpaceDE/>
              <w:autoSpaceDN/>
              <w:bidi w:val="0"/>
              <w:adjustRightInd/>
              <w:snapToGrid/>
              <w:spacing w:line="221" w:lineRule="auto"/>
              <w:ind w:left="0" w:right="0"/>
              <w:jc w:val="both"/>
              <w:textAlignment w:val="auto"/>
              <w:rPr>
                <w:rFonts w:ascii="仿宋_GB2312" w:hAnsi="仿宋_GB2312" w:eastAsia="仿宋_GB2312" w:cs="仿宋_GB2312"/>
                <w:sz w:val="24"/>
                <w:szCs w:val="24"/>
              </w:rPr>
            </w:pPr>
            <w:r>
              <w:rPr>
                <w:rFonts w:hint="eastAsia" w:ascii="仿宋_GB2312" w:hAnsi="仿宋_GB2312" w:eastAsia="仿宋_GB2312" w:cs="仿宋_GB2312"/>
                <w:spacing w:val="4"/>
                <w:sz w:val="24"/>
                <w:szCs w:val="24"/>
              </w:rPr>
              <w:t>县卫体局</w:t>
            </w:r>
          </w:p>
        </w:tc>
        <w:tc>
          <w:tcPr>
            <w:tcW w:w="6910"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both"/>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pacing w:val="-3"/>
                <w:sz w:val="24"/>
                <w:szCs w:val="24"/>
                <w:lang w:eastAsia="zh-CN"/>
              </w:rPr>
              <w:t>负责整合、调派医疗救治、卫生防疫等医疗卫生救援队伍、装</w:t>
            </w:r>
            <w:r>
              <w:rPr>
                <w:rFonts w:hint="eastAsia" w:ascii="仿宋_GB2312" w:hAnsi="仿宋_GB2312" w:eastAsia="仿宋_GB2312" w:cs="仿宋_GB2312"/>
                <w:spacing w:val="1"/>
                <w:sz w:val="24"/>
                <w:szCs w:val="24"/>
                <w:lang w:eastAsia="zh-CN"/>
              </w:rPr>
              <w:t>备、医药物资等赴灾区开展气象灾害伤病员现场急救、转运、</w:t>
            </w:r>
            <w:r>
              <w:rPr>
                <w:rFonts w:hint="eastAsia" w:ascii="仿宋_GB2312" w:hAnsi="仿宋_GB2312" w:eastAsia="仿宋_GB2312" w:cs="仿宋_GB2312"/>
                <w:spacing w:val="-3"/>
                <w:sz w:val="24"/>
                <w:szCs w:val="24"/>
                <w:lang w:eastAsia="zh-CN"/>
              </w:rPr>
              <w:t>院内救治和卫生防疫工作；为救援人员和灾区群众提供医疗卫</w:t>
            </w:r>
            <w:r>
              <w:rPr>
                <w:rFonts w:hint="eastAsia" w:ascii="仿宋_GB2312" w:hAnsi="仿宋_GB2312" w:eastAsia="仿宋_GB2312" w:cs="仿宋_GB2312"/>
                <w:spacing w:val="13"/>
                <w:sz w:val="24"/>
                <w:szCs w:val="24"/>
                <w:lang w:eastAsia="zh-CN"/>
              </w:rPr>
              <w:t>生保障服务。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299" w:hRule="atLeast"/>
        </w:trPr>
        <w:tc>
          <w:tcPr>
            <w:tcW w:w="1384"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仿宋_GB2312" w:hAnsi="仿宋_GB2312" w:eastAsia="仿宋_GB2312" w:cs="仿宋_GB2312"/>
                <w:sz w:val="24"/>
                <w:szCs w:val="24"/>
              </w:rPr>
            </w:pPr>
          </w:p>
        </w:tc>
        <w:tc>
          <w:tcPr>
            <w:tcW w:w="1257"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成员单位</w:t>
            </w:r>
          </w:p>
        </w:tc>
        <w:tc>
          <w:tcPr>
            <w:tcW w:w="4078" w:type="dxa"/>
            <w:noWrap/>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both"/>
              <w:textAlignment w:val="auto"/>
              <w:rPr>
                <w:rFonts w:ascii="仿宋_GB2312" w:hAnsi="仿宋_GB2312" w:eastAsia="仿宋_GB2312" w:cs="仿宋_GB2312"/>
                <w:sz w:val="24"/>
                <w:szCs w:val="24"/>
              </w:rPr>
            </w:pPr>
            <w:r>
              <w:rPr>
                <w:rFonts w:hint="eastAsia" w:ascii="仿宋_GB2312" w:hAnsi="仿宋_GB2312" w:eastAsia="仿宋_GB2312" w:cs="仿宋_GB2312"/>
                <w:spacing w:val="4"/>
                <w:sz w:val="24"/>
                <w:szCs w:val="24"/>
              </w:rPr>
              <w:t>县医疗集团</w:t>
            </w:r>
          </w:p>
        </w:tc>
        <w:tc>
          <w:tcPr>
            <w:tcW w:w="6910"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both"/>
              <w:textAlignment w:val="auto"/>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460" w:hRule="atLeast"/>
        </w:trPr>
        <w:tc>
          <w:tcPr>
            <w:tcW w:w="1384"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56" w:lineRule="auto"/>
              <w:ind w:left="0" w:right="0" w:firstLine="1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5"/>
                <w:sz w:val="24"/>
                <w:szCs w:val="24"/>
              </w:rPr>
              <w:t>安全</w:t>
            </w:r>
            <w:r>
              <w:rPr>
                <w:rFonts w:hint="eastAsia" w:ascii="仿宋_GB2312" w:hAnsi="仿宋_GB2312" w:eastAsia="仿宋_GB2312" w:cs="仿宋_GB2312"/>
                <w:spacing w:val="-4"/>
                <w:sz w:val="24"/>
                <w:szCs w:val="24"/>
              </w:rPr>
              <w:t>保卫组</w:t>
            </w:r>
          </w:p>
        </w:tc>
        <w:tc>
          <w:tcPr>
            <w:tcW w:w="1257"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组长单位</w:t>
            </w:r>
          </w:p>
        </w:tc>
        <w:tc>
          <w:tcPr>
            <w:tcW w:w="4078" w:type="dxa"/>
            <w:noWrap/>
            <w:vAlign w:val="center"/>
          </w:tcPr>
          <w:p>
            <w:pPr>
              <w:pStyle w:val="7"/>
              <w:keepNext w:val="0"/>
              <w:keepLines w:val="0"/>
              <w:pageBreakBefore w:val="0"/>
              <w:widowControl w:val="0"/>
              <w:kinsoku/>
              <w:wordWrap/>
              <w:overflowPunct/>
              <w:topLinePunct w:val="0"/>
              <w:autoSpaceDE/>
              <w:autoSpaceDN/>
              <w:bidi w:val="0"/>
              <w:adjustRightInd/>
              <w:snapToGrid/>
              <w:spacing w:line="221" w:lineRule="auto"/>
              <w:ind w:left="0" w:right="0"/>
              <w:jc w:val="both"/>
              <w:textAlignment w:val="auto"/>
              <w:rPr>
                <w:rFonts w:ascii="仿宋_GB2312" w:hAnsi="仿宋_GB2312" w:eastAsia="仿宋_GB2312" w:cs="仿宋_GB2312"/>
                <w:sz w:val="24"/>
                <w:szCs w:val="24"/>
              </w:rPr>
            </w:pPr>
            <w:r>
              <w:rPr>
                <w:rFonts w:hint="eastAsia" w:ascii="仿宋_GB2312" w:hAnsi="仿宋_GB2312" w:eastAsia="仿宋_GB2312" w:cs="仿宋_GB2312"/>
                <w:spacing w:val="5"/>
                <w:sz w:val="24"/>
                <w:szCs w:val="24"/>
              </w:rPr>
              <w:t>县公安局</w:t>
            </w:r>
          </w:p>
        </w:tc>
        <w:tc>
          <w:tcPr>
            <w:tcW w:w="6910"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both"/>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负责气象灾害事发地安全警戒，疏散、转移安置人员，维护现</w:t>
            </w:r>
          </w:p>
          <w:p>
            <w:pPr>
              <w:pStyle w:val="7"/>
              <w:keepNext w:val="0"/>
              <w:keepLines w:val="0"/>
              <w:pageBreakBefore w:val="0"/>
              <w:widowControl w:val="0"/>
              <w:kinsoku/>
              <w:wordWrap/>
              <w:overflowPunct/>
              <w:topLinePunct w:val="0"/>
              <w:autoSpaceDE/>
              <w:autoSpaceDN/>
              <w:bidi w:val="0"/>
              <w:adjustRightInd/>
              <w:snapToGrid/>
              <w:spacing w:line="219" w:lineRule="auto"/>
              <w:ind w:left="0" w:right="0"/>
              <w:jc w:val="both"/>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场秩序；依法打击违法犯罪活动；维护事发现场周边地区道路</w:t>
            </w:r>
          </w:p>
          <w:p>
            <w:pPr>
              <w:pStyle w:val="7"/>
              <w:keepNext w:val="0"/>
              <w:keepLines w:val="0"/>
              <w:pageBreakBefore w:val="0"/>
              <w:widowControl w:val="0"/>
              <w:kinsoku/>
              <w:wordWrap/>
              <w:overflowPunct/>
              <w:topLinePunct w:val="0"/>
              <w:autoSpaceDE/>
              <w:autoSpaceDN/>
              <w:bidi w:val="0"/>
              <w:adjustRightInd/>
              <w:snapToGrid/>
              <w:spacing w:line="213" w:lineRule="auto"/>
              <w:ind w:left="0" w:right="0"/>
              <w:jc w:val="both"/>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交通秩序，实施交通管制和交通疏导，保障救援道路畅通。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459" w:hRule="atLeast"/>
        </w:trPr>
        <w:tc>
          <w:tcPr>
            <w:tcW w:w="1384"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仿宋_GB2312" w:hAnsi="仿宋_GB2312" w:eastAsia="仿宋_GB2312" w:cs="仿宋_GB2312"/>
                <w:sz w:val="24"/>
                <w:szCs w:val="24"/>
              </w:rPr>
            </w:pPr>
          </w:p>
        </w:tc>
        <w:tc>
          <w:tcPr>
            <w:tcW w:w="1257"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成员单位</w:t>
            </w:r>
          </w:p>
        </w:tc>
        <w:tc>
          <w:tcPr>
            <w:tcW w:w="4078" w:type="dxa"/>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both"/>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武警</w:t>
            </w:r>
            <w:r>
              <w:rPr>
                <w:rFonts w:hint="eastAsia" w:ascii="仿宋_GB2312" w:hAnsi="仿宋_GB2312" w:eastAsia="仿宋_GB2312" w:cs="仿宋_GB2312"/>
                <w:spacing w:val="2"/>
                <w:sz w:val="24"/>
                <w:szCs w:val="24"/>
                <w:lang w:eastAsia="zh-CN"/>
              </w:rPr>
              <w:t>阳高</w:t>
            </w:r>
            <w:r>
              <w:rPr>
                <w:rFonts w:hint="eastAsia" w:ascii="仿宋_GB2312" w:hAnsi="仿宋_GB2312" w:eastAsia="仿宋_GB2312" w:cs="仿宋_GB2312"/>
                <w:spacing w:val="2"/>
                <w:sz w:val="24"/>
                <w:szCs w:val="24"/>
              </w:rPr>
              <w:t>中队</w:t>
            </w:r>
          </w:p>
        </w:tc>
        <w:tc>
          <w:tcPr>
            <w:tcW w:w="6910"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both"/>
              <w:textAlignment w:val="auto"/>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10" w:hRule="atLeast"/>
        </w:trPr>
        <w:tc>
          <w:tcPr>
            <w:tcW w:w="1384"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49" w:lineRule="auto"/>
              <w:ind w:left="0" w:right="0" w:firstLine="1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6"/>
                <w:sz w:val="24"/>
                <w:szCs w:val="24"/>
              </w:rPr>
              <w:t>后勤</w:t>
            </w:r>
            <w:r>
              <w:rPr>
                <w:rFonts w:hint="eastAsia" w:ascii="仿宋_GB2312" w:hAnsi="仿宋_GB2312" w:eastAsia="仿宋_GB2312" w:cs="仿宋_GB2312"/>
                <w:spacing w:val="-4"/>
                <w:sz w:val="24"/>
                <w:szCs w:val="24"/>
              </w:rPr>
              <w:t>保障组</w:t>
            </w:r>
          </w:p>
        </w:tc>
        <w:tc>
          <w:tcPr>
            <w:tcW w:w="1257"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组长单位</w:t>
            </w:r>
          </w:p>
        </w:tc>
        <w:tc>
          <w:tcPr>
            <w:tcW w:w="4078" w:type="dxa"/>
            <w:noWrap/>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both"/>
              <w:textAlignment w:val="auto"/>
              <w:rPr>
                <w:rFonts w:ascii="仿宋_GB2312" w:hAnsi="仿宋_GB2312" w:eastAsia="仿宋_GB2312" w:cs="仿宋_GB2312"/>
                <w:sz w:val="24"/>
                <w:szCs w:val="24"/>
              </w:rPr>
            </w:pPr>
            <w:r>
              <w:rPr>
                <w:rFonts w:hint="eastAsia" w:ascii="仿宋_GB2312" w:hAnsi="仿宋_GB2312" w:eastAsia="仿宋_GB2312" w:cs="仿宋_GB2312"/>
                <w:spacing w:val="3"/>
                <w:sz w:val="24"/>
                <w:szCs w:val="24"/>
              </w:rPr>
              <w:t>县应急管理局</w:t>
            </w:r>
          </w:p>
        </w:tc>
        <w:tc>
          <w:tcPr>
            <w:tcW w:w="6910"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34" w:lineRule="auto"/>
              <w:ind w:left="0" w:right="0"/>
              <w:jc w:val="both"/>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负责突发事件应急物资、应急车辆、救援人员、气象预报、电力保障、通信保障、资金保障、救灾物资储备、灾民救助、善后处理等工作，建立突发事件处置现场与上级应急指挥部的通</w:t>
            </w:r>
            <w:r>
              <w:rPr>
                <w:rFonts w:hint="eastAsia" w:ascii="仿宋_GB2312" w:hAnsi="仿宋_GB2312" w:eastAsia="仿宋_GB2312" w:cs="仿宋_GB2312"/>
                <w:spacing w:val="12"/>
                <w:sz w:val="24"/>
                <w:szCs w:val="24"/>
                <w:lang w:eastAsia="zh-CN"/>
              </w:rPr>
              <w:t>信联络。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99" w:hRule="atLeast"/>
        </w:trPr>
        <w:tc>
          <w:tcPr>
            <w:tcW w:w="1384"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仿宋_GB2312" w:hAnsi="仿宋_GB2312" w:eastAsia="仿宋_GB2312" w:cs="仿宋_GB2312"/>
                <w:sz w:val="24"/>
                <w:szCs w:val="24"/>
              </w:rPr>
            </w:pPr>
          </w:p>
        </w:tc>
        <w:tc>
          <w:tcPr>
            <w:tcW w:w="1257"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成员单位</w:t>
            </w:r>
          </w:p>
        </w:tc>
        <w:tc>
          <w:tcPr>
            <w:tcW w:w="4078" w:type="dxa"/>
            <w:noWrap/>
            <w:vAlign w:val="center"/>
          </w:tcPr>
          <w:p>
            <w:pPr>
              <w:pStyle w:val="7"/>
              <w:keepNext w:val="0"/>
              <w:keepLines w:val="0"/>
              <w:pageBreakBefore w:val="0"/>
              <w:widowControl w:val="0"/>
              <w:kinsoku/>
              <w:wordWrap/>
              <w:overflowPunct/>
              <w:topLinePunct w:val="0"/>
              <w:autoSpaceDE/>
              <w:autoSpaceDN/>
              <w:bidi w:val="0"/>
              <w:adjustRightInd/>
              <w:snapToGrid/>
              <w:spacing w:line="222" w:lineRule="auto"/>
              <w:ind w:left="0" w:right="0"/>
              <w:jc w:val="both"/>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县发科局、县工信局、县公安局、县财</w:t>
            </w:r>
            <w:r>
              <w:rPr>
                <w:rFonts w:hint="eastAsia" w:ascii="仿宋_GB2312" w:hAnsi="仿宋_GB2312" w:eastAsia="仿宋_GB2312" w:cs="仿宋_GB2312"/>
                <w:spacing w:val="-16"/>
                <w:sz w:val="24"/>
                <w:szCs w:val="24"/>
                <w:lang w:eastAsia="zh-CN"/>
              </w:rPr>
              <w:t>政局、县交通局、县能源局、县气象局、</w:t>
            </w:r>
            <w:r>
              <w:rPr>
                <w:rFonts w:hint="eastAsia" w:ascii="仿宋_GB2312" w:hAnsi="仿宋_GB2312" w:eastAsia="仿宋_GB2312" w:cs="仿宋_GB2312"/>
                <w:spacing w:val="-4"/>
                <w:sz w:val="24"/>
                <w:szCs w:val="24"/>
                <w:lang w:eastAsia="zh-CN"/>
              </w:rPr>
              <w:t>县火车站、县供电公司、各保险公司</w:t>
            </w:r>
          </w:p>
        </w:tc>
        <w:tc>
          <w:tcPr>
            <w:tcW w:w="6910"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both"/>
              <w:textAlignment w:val="auto"/>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09" w:hRule="atLeast"/>
        </w:trPr>
        <w:tc>
          <w:tcPr>
            <w:tcW w:w="1384"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33" w:lineRule="auto"/>
              <w:ind w:left="0" w:right="0" w:firstLine="1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6"/>
                <w:sz w:val="24"/>
                <w:szCs w:val="24"/>
              </w:rPr>
              <w:t>调查</w:t>
            </w:r>
            <w:r>
              <w:rPr>
                <w:rFonts w:hint="eastAsia" w:ascii="仿宋_GB2312" w:hAnsi="仿宋_GB2312" w:eastAsia="仿宋_GB2312" w:cs="仿宋_GB2312"/>
                <w:spacing w:val="-4"/>
                <w:sz w:val="24"/>
                <w:szCs w:val="24"/>
              </w:rPr>
              <w:t>监测组</w:t>
            </w:r>
          </w:p>
        </w:tc>
        <w:tc>
          <w:tcPr>
            <w:tcW w:w="1257"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组长单位</w:t>
            </w:r>
          </w:p>
        </w:tc>
        <w:tc>
          <w:tcPr>
            <w:tcW w:w="4078" w:type="dxa"/>
            <w:noWrap/>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both"/>
              <w:textAlignment w:val="auto"/>
              <w:rPr>
                <w:rFonts w:ascii="仿宋_GB2312" w:hAnsi="仿宋_GB2312" w:eastAsia="仿宋_GB2312" w:cs="仿宋_GB2312"/>
                <w:sz w:val="24"/>
                <w:szCs w:val="24"/>
              </w:rPr>
            </w:pPr>
            <w:r>
              <w:rPr>
                <w:rFonts w:hint="eastAsia" w:ascii="仿宋_GB2312" w:hAnsi="仿宋_GB2312" w:eastAsia="仿宋_GB2312" w:cs="仿宋_GB2312"/>
                <w:spacing w:val="5"/>
                <w:sz w:val="24"/>
                <w:szCs w:val="24"/>
              </w:rPr>
              <w:t>县气象局</w:t>
            </w:r>
          </w:p>
        </w:tc>
        <w:tc>
          <w:tcPr>
            <w:tcW w:w="6910"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36" w:lineRule="auto"/>
              <w:ind w:left="0" w:right="0"/>
              <w:jc w:val="both"/>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负责对事发地气象条件及灾害造成的工程设施等损坏程度进行调查统计和动态监测，为气象灾害处置提供技术支持，防止</w:t>
            </w:r>
            <w:r>
              <w:rPr>
                <w:rFonts w:hint="eastAsia" w:ascii="仿宋_GB2312" w:hAnsi="仿宋_GB2312" w:eastAsia="仿宋_GB2312" w:cs="仿宋_GB2312"/>
                <w:spacing w:val="6"/>
                <w:sz w:val="24"/>
                <w:szCs w:val="24"/>
                <w:lang w:eastAsia="zh-CN"/>
              </w:rPr>
              <w:t>次生灾害造成更大的人员伤亡。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909" w:hRule="atLeast"/>
        </w:trPr>
        <w:tc>
          <w:tcPr>
            <w:tcW w:w="1384"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仿宋_GB2312" w:hAnsi="仿宋_GB2312" w:eastAsia="仿宋_GB2312" w:cs="仿宋_GB2312"/>
                <w:sz w:val="24"/>
                <w:szCs w:val="24"/>
              </w:rPr>
            </w:pPr>
          </w:p>
        </w:tc>
        <w:tc>
          <w:tcPr>
            <w:tcW w:w="1257"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成员单位</w:t>
            </w:r>
          </w:p>
        </w:tc>
        <w:tc>
          <w:tcPr>
            <w:tcW w:w="4078" w:type="dxa"/>
            <w:noWrap/>
            <w:vAlign w:val="center"/>
          </w:tcPr>
          <w:p>
            <w:pPr>
              <w:pStyle w:val="7"/>
              <w:keepNext w:val="0"/>
              <w:keepLines w:val="0"/>
              <w:pageBreakBefore w:val="0"/>
              <w:widowControl w:val="0"/>
              <w:kinsoku/>
              <w:wordWrap/>
              <w:overflowPunct/>
              <w:topLinePunct w:val="0"/>
              <w:autoSpaceDE/>
              <w:autoSpaceDN/>
              <w:bidi w:val="0"/>
              <w:adjustRightInd/>
              <w:snapToGrid/>
              <w:spacing w:line="221" w:lineRule="auto"/>
              <w:ind w:left="0" w:right="0"/>
              <w:jc w:val="both"/>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县自然资源局、市生态环境局阳高分</w:t>
            </w:r>
            <w:r>
              <w:rPr>
                <w:rFonts w:hint="eastAsia" w:ascii="仿宋_GB2312" w:hAnsi="仿宋_GB2312" w:eastAsia="仿宋_GB2312" w:cs="仿宋_GB2312"/>
                <w:spacing w:val="-3"/>
                <w:sz w:val="24"/>
                <w:szCs w:val="24"/>
                <w:lang w:eastAsia="zh-CN"/>
              </w:rPr>
              <w:t>局、县交通局、县水务局、县农业农村</w:t>
            </w:r>
            <w:r>
              <w:rPr>
                <w:rFonts w:hint="eastAsia" w:ascii="仿宋_GB2312" w:hAnsi="仿宋_GB2312" w:eastAsia="仿宋_GB2312" w:cs="仿宋_GB2312"/>
                <w:sz w:val="24"/>
                <w:szCs w:val="24"/>
                <w:lang w:eastAsia="zh-CN"/>
              </w:rPr>
              <w:t>局、县应急管理局、县火车站</w:t>
            </w:r>
          </w:p>
        </w:tc>
        <w:tc>
          <w:tcPr>
            <w:tcW w:w="6910"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both"/>
              <w:textAlignment w:val="auto"/>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384"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24" w:lineRule="auto"/>
              <w:ind w:left="0" w:right="0" w:firstLine="1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12"/>
                <w:sz w:val="24"/>
                <w:szCs w:val="24"/>
              </w:rPr>
              <w:t>新闻</w:t>
            </w:r>
            <w:r>
              <w:rPr>
                <w:rFonts w:hint="eastAsia" w:ascii="仿宋_GB2312" w:hAnsi="仿宋_GB2312" w:eastAsia="仿宋_GB2312" w:cs="仿宋_GB2312"/>
                <w:spacing w:val="-3"/>
                <w:sz w:val="24"/>
                <w:szCs w:val="24"/>
              </w:rPr>
              <w:t>报道组</w:t>
            </w:r>
          </w:p>
        </w:tc>
        <w:tc>
          <w:tcPr>
            <w:tcW w:w="1257"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组长单位</w:t>
            </w:r>
          </w:p>
        </w:tc>
        <w:tc>
          <w:tcPr>
            <w:tcW w:w="4078" w:type="dxa"/>
            <w:noWrap/>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both"/>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县委宣传部</w:t>
            </w:r>
          </w:p>
        </w:tc>
        <w:tc>
          <w:tcPr>
            <w:tcW w:w="6910"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32" w:lineRule="auto"/>
              <w:ind w:left="0" w:right="0"/>
              <w:jc w:val="both"/>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负责救援现场新闻记者的组织管理，按照县指挥部提供的权威</w:t>
            </w:r>
            <w:r>
              <w:rPr>
                <w:rFonts w:hint="eastAsia" w:ascii="仿宋_GB2312" w:hAnsi="仿宋_GB2312" w:eastAsia="仿宋_GB2312" w:cs="仿宋_GB2312"/>
                <w:spacing w:val="-1"/>
                <w:sz w:val="24"/>
                <w:szCs w:val="24"/>
                <w:lang w:eastAsia="zh-CN"/>
              </w:rPr>
              <w:t>信息进行新闻宣传报道。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384"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仿宋_GB2312" w:hAnsi="仿宋_GB2312" w:eastAsia="仿宋_GB2312" w:cs="仿宋_GB2312"/>
                <w:sz w:val="24"/>
                <w:szCs w:val="24"/>
              </w:rPr>
            </w:pPr>
          </w:p>
        </w:tc>
        <w:tc>
          <w:tcPr>
            <w:tcW w:w="1257"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成员单位</w:t>
            </w:r>
          </w:p>
        </w:tc>
        <w:tc>
          <w:tcPr>
            <w:tcW w:w="4078" w:type="dxa"/>
            <w:noWrap/>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both"/>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县融媒体中心、县新闻中心</w:t>
            </w:r>
          </w:p>
        </w:tc>
        <w:tc>
          <w:tcPr>
            <w:tcW w:w="6910"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both"/>
              <w:textAlignment w:val="auto"/>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84"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24" w:lineRule="auto"/>
              <w:ind w:left="0" w:right="0"/>
              <w:jc w:val="center"/>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专家</w:t>
            </w:r>
          </w:p>
          <w:p>
            <w:pPr>
              <w:pStyle w:val="7"/>
              <w:keepNext w:val="0"/>
              <w:keepLines w:val="0"/>
              <w:pageBreakBefore w:val="0"/>
              <w:widowControl w:val="0"/>
              <w:kinsoku/>
              <w:wordWrap/>
              <w:overflowPunct/>
              <w:topLinePunct w:val="0"/>
              <w:autoSpaceDE/>
              <w:autoSpaceDN/>
              <w:bidi w:val="0"/>
              <w:adjustRightInd/>
              <w:snapToGrid/>
              <w:spacing w:line="224" w:lineRule="auto"/>
              <w:ind w:right="0"/>
              <w:jc w:val="center"/>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咨询组</w:t>
            </w:r>
          </w:p>
        </w:tc>
        <w:tc>
          <w:tcPr>
            <w:tcW w:w="1257"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组长单位</w:t>
            </w:r>
          </w:p>
        </w:tc>
        <w:tc>
          <w:tcPr>
            <w:tcW w:w="4078" w:type="dxa"/>
            <w:noWrap/>
            <w:vAlign w:val="center"/>
          </w:tcPr>
          <w:p>
            <w:pPr>
              <w:pStyle w:val="7"/>
              <w:keepNext w:val="0"/>
              <w:keepLines w:val="0"/>
              <w:pageBreakBefore w:val="0"/>
              <w:widowControl w:val="0"/>
              <w:kinsoku/>
              <w:wordWrap/>
              <w:overflowPunct/>
              <w:topLinePunct w:val="0"/>
              <w:autoSpaceDE/>
              <w:autoSpaceDN/>
              <w:bidi w:val="0"/>
              <w:adjustRightInd/>
              <w:snapToGrid/>
              <w:spacing w:line="219" w:lineRule="auto"/>
              <w:ind w:left="0" w:right="0"/>
              <w:jc w:val="both"/>
              <w:textAlignment w:val="auto"/>
              <w:rPr>
                <w:rFonts w:ascii="仿宋_GB2312" w:hAnsi="仿宋_GB2312" w:eastAsia="仿宋_GB2312" w:cs="仿宋_GB2312"/>
                <w:sz w:val="24"/>
                <w:szCs w:val="24"/>
              </w:rPr>
            </w:pPr>
            <w:r>
              <w:rPr>
                <w:rFonts w:hint="eastAsia" w:ascii="仿宋_GB2312" w:hAnsi="仿宋_GB2312" w:eastAsia="仿宋_GB2312" w:cs="仿宋_GB2312"/>
                <w:spacing w:val="5"/>
                <w:sz w:val="24"/>
                <w:szCs w:val="24"/>
              </w:rPr>
              <w:t>县气象局</w:t>
            </w:r>
          </w:p>
        </w:tc>
        <w:tc>
          <w:tcPr>
            <w:tcW w:w="6910" w:type="dxa"/>
            <w:vMerge w:val="restart"/>
            <w:tcBorders>
              <w:bottom w:val="nil"/>
            </w:tcBorders>
            <w:noWrap/>
            <w:vAlign w:val="center"/>
          </w:tcPr>
          <w:p>
            <w:pPr>
              <w:pStyle w:val="7"/>
              <w:keepNext w:val="0"/>
              <w:keepLines w:val="0"/>
              <w:pageBreakBefore w:val="0"/>
              <w:widowControl w:val="0"/>
              <w:kinsoku/>
              <w:wordWrap/>
              <w:overflowPunct/>
              <w:topLinePunct w:val="0"/>
              <w:autoSpaceDE/>
              <w:autoSpaceDN/>
              <w:bidi w:val="0"/>
              <w:adjustRightInd/>
              <w:snapToGrid/>
              <w:spacing w:line="227" w:lineRule="auto"/>
              <w:ind w:left="0" w:right="0" w:firstLine="19"/>
              <w:jc w:val="both"/>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县指挥部办公室组织气象、水文、农业、自然资源、环境、医</w:t>
            </w:r>
            <w:r>
              <w:rPr>
                <w:rFonts w:hint="eastAsia" w:ascii="仿宋_GB2312" w:hAnsi="仿宋_GB2312" w:eastAsia="仿宋_GB2312" w:cs="仿宋_GB2312"/>
                <w:spacing w:val="-3"/>
                <w:sz w:val="24"/>
                <w:szCs w:val="24"/>
                <w:lang w:eastAsia="zh-CN"/>
              </w:rPr>
              <w:t>疗救护、卫生防疫、安全生产和应急救援等方面的专家组成专</w:t>
            </w:r>
            <w:r>
              <w:rPr>
                <w:rFonts w:hint="eastAsia" w:ascii="仿宋_GB2312" w:hAnsi="仿宋_GB2312" w:eastAsia="仿宋_GB2312" w:cs="仿宋_GB2312"/>
                <w:spacing w:val="-7"/>
                <w:sz w:val="24"/>
                <w:szCs w:val="24"/>
                <w:lang w:eastAsia="zh-CN"/>
              </w:rPr>
              <w:t>家咨询组。按照县指挥部的要求，研究分析气象灾害预报预警、</w:t>
            </w:r>
            <w:r>
              <w:rPr>
                <w:rFonts w:hint="eastAsia" w:ascii="仿宋_GB2312" w:hAnsi="仿宋_GB2312" w:eastAsia="仿宋_GB2312" w:cs="仿宋_GB2312"/>
                <w:spacing w:val="-3"/>
                <w:sz w:val="24"/>
                <w:szCs w:val="24"/>
                <w:lang w:eastAsia="zh-CN"/>
              </w:rPr>
              <w:t>灾情和发展趋势，为县指挥部决策提供抢险救灾咨询</w:t>
            </w:r>
            <w:r>
              <w:rPr>
                <w:rFonts w:hint="eastAsia" w:ascii="仿宋_GB2312" w:hAnsi="仿宋_GB2312" w:eastAsia="仿宋_GB2312" w:cs="仿宋_GB2312"/>
                <w:spacing w:val="-4"/>
                <w:sz w:val="24"/>
                <w:szCs w:val="24"/>
                <w:lang w:eastAsia="zh-CN"/>
              </w:rPr>
              <w:t>建议和技</w:t>
            </w:r>
            <w:r>
              <w:rPr>
                <w:rFonts w:hint="eastAsia" w:ascii="仿宋_GB2312" w:hAnsi="仿宋_GB2312" w:eastAsia="仿宋_GB2312" w:cs="仿宋_GB2312"/>
                <w:spacing w:val="2"/>
                <w:sz w:val="24"/>
                <w:szCs w:val="24"/>
                <w:lang w:eastAsia="zh-CN"/>
              </w:rPr>
              <w:t>术支持，科学指导应急救灾工作。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384" w:type="dxa"/>
            <w:vMerge w:val="continue"/>
            <w:tcBorders>
              <w:top w:val="nil"/>
            </w:tcBorders>
            <w:noWrap/>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仿宋_GB2312" w:hAnsi="仿宋_GB2312" w:eastAsia="仿宋_GB2312" w:cs="仿宋_GB2312"/>
                <w:sz w:val="24"/>
                <w:szCs w:val="24"/>
              </w:rPr>
            </w:pPr>
          </w:p>
        </w:tc>
        <w:tc>
          <w:tcPr>
            <w:tcW w:w="1257" w:type="dxa"/>
            <w:gridSpan w:val="2"/>
            <w:noWrap/>
            <w:vAlign w:val="center"/>
          </w:tcPr>
          <w:p>
            <w:pPr>
              <w:pStyle w:val="7"/>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成员单位</w:t>
            </w:r>
          </w:p>
        </w:tc>
        <w:tc>
          <w:tcPr>
            <w:tcW w:w="4078" w:type="dxa"/>
            <w:noWrap/>
            <w:vAlign w:val="center"/>
          </w:tcPr>
          <w:p>
            <w:pPr>
              <w:pStyle w:val="7"/>
              <w:keepNext w:val="0"/>
              <w:keepLines w:val="0"/>
              <w:pageBreakBefore w:val="0"/>
              <w:widowControl w:val="0"/>
              <w:kinsoku/>
              <w:wordWrap/>
              <w:overflowPunct/>
              <w:topLinePunct w:val="0"/>
              <w:autoSpaceDE/>
              <w:autoSpaceDN/>
              <w:bidi w:val="0"/>
              <w:adjustRightInd/>
              <w:snapToGrid/>
              <w:spacing w:line="211" w:lineRule="auto"/>
              <w:ind w:left="0" w:right="0"/>
              <w:jc w:val="both"/>
              <w:textAlignment w:val="auto"/>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县自然资源局、市生态环境局阳高分</w:t>
            </w:r>
            <w:r>
              <w:rPr>
                <w:rFonts w:hint="eastAsia" w:ascii="仿宋_GB2312" w:hAnsi="仿宋_GB2312" w:eastAsia="仿宋_GB2312" w:cs="仿宋_GB2312"/>
                <w:spacing w:val="-3"/>
                <w:sz w:val="24"/>
                <w:szCs w:val="24"/>
                <w:lang w:eastAsia="zh-CN"/>
              </w:rPr>
              <w:t>局、县水务局、县农业农村局、县卫体</w:t>
            </w:r>
            <w:r>
              <w:rPr>
                <w:rFonts w:hint="eastAsia" w:ascii="仿宋_GB2312" w:hAnsi="仿宋_GB2312" w:eastAsia="仿宋_GB2312" w:cs="仿宋_GB2312"/>
                <w:spacing w:val="1"/>
                <w:sz w:val="24"/>
                <w:szCs w:val="24"/>
                <w:lang w:eastAsia="zh-CN"/>
              </w:rPr>
              <w:t>局、县应急管理局</w:t>
            </w:r>
          </w:p>
        </w:tc>
        <w:tc>
          <w:tcPr>
            <w:tcW w:w="6910" w:type="dxa"/>
            <w:vMerge w:val="continue"/>
            <w:tcBorders>
              <w:top w:val="nil"/>
            </w:tcBorders>
            <w:noWrap/>
          </w:tcPr>
          <w:p>
            <w:pPr>
              <w:keepNext w:val="0"/>
              <w:keepLines w:val="0"/>
              <w:pageBreakBefore w:val="0"/>
              <w:widowControl w:val="0"/>
              <w:kinsoku/>
              <w:wordWrap/>
              <w:overflowPunct/>
              <w:topLinePunct w:val="0"/>
              <w:autoSpaceDE/>
              <w:autoSpaceDN/>
              <w:bidi w:val="0"/>
              <w:adjustRightInd/>
              <w:snapToGrid/>
              <w:ind w:left="0" w:right="0"/>
              <w:jc w:val="left"/>
              <w:textAlignment w:val="auto"/>
              <w:rPr>
                <w:rFonts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6838" w:h="11906" w:orient="landscape"/>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ascii="仿宋_GB2312" w:hAnsi="仿宋_GB2312" w:eastAsia="仿宋_GB2312" w:cs="仿宋_GB2312"/>
                              <w:sz w:val="22"/>
                              <w:szCs w:val="32"/>
                            </w:rPr>
                            <w:fldChar w:fldCharType="begin"/>
                          </w:r>
                          <w:r>
                            <w:rPr>
                              <w:rFonts w:hint="eastAsia" w:ascii="仿宋_GB2312" w:hAnsi="仿宋_GB2312" w:eastAsia="仿宋_GB2312" w:cs="仿宋_GB2312"/>
                              <w:sz w:val="22"/>
                              <w:szCs w:val="32"/>
                            </w:rPr>
                            <w:instrText xml:space="preserve"> PAGE  \* MERGEFORMAT </w:instrText>
                          </w:r>
                          <w:r>
                            <w:rPr>
                              <w:rFonts w:hint="eastAsia" w:ascii="仿宋_GB2312" w:hAnsi="仿宋_GB2312" w:eastAsia="仿宋_GB2312" w:cs="仿宋_GB2312"/>
                              <w:sz w:val="22"/>
                              <w:szCs w:val="32"/>
                            </w:rPr>
                            <w:fldChar w:fldCharType="separate"/>
                          </w:r>
                          <w:r>
                            <w:rPr>
                              <w:rFonts w:ascii="仿宋_GB2312" w:hAnsi="仿宋_GB2312" w:eastAsia="仿宋_GB2312" w:cs="仿宋_GB2312"/>
                              <w:sz w:val="22"/>
                              <w:szCs w:val="32"/>
                            </w:rPr>
                            <w:t>- 27 -</w:t>
                          </w:r>
                          <w:r>
                            <w:rPr>
                              <w:rFonts w:hint="eastAsia" w:ascii="仿宋_GB2312" w:hAnsi="仿宋_GB2312" w:eastAsia="仿宋_GB2312" w:cs="仿宋_GB2312"/>
                              <w:sz w:val="22"/>
                              <w:szCs w:val="3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adoHJyAEAAJkDAAAOAAAAAAAA&#10;AAEAIAAAADQBAABkcnMvZTJvRG9jLnhtbFBLBQYAAAAABgAGAFkBAABuBQAAAAA=&#10;">
              <v:path/>
              <v:fill on="f" focussize="0,0"/>
              <v:stroke on="f"/>
              <v:imagedata o:title=""/>
              <o:lock v:ext="edit" aspectratio="f"/>
              <v:textbox inset="0mm,0mm,0mm,0mm" style="mso-fit-shape-to-text:t;">
                <w:txbxContent>
                  <w:p>
                    <w:pPr>
                      <w:snapToGrid w:val="0"/>
                      <w:rPr>
                        <w:sz w:val="18"/>
                      </w:rPr>
                    </w:pPr>
                    <w:r>
                      <w:rPr>
                        <w:rFonts w:hint="eastAsia" w:ascii="仿宋_GB2312" w:hAnsi="仿宋_GB2312" w:eastAsia="仿宋_GB2312" w:cs="仿宋_GB2312"/>
                        <w:sz w:val="22"/>
                        <w:szCs w:val="32"/>
                      </w:rPr>
                      <w:fldChar w:fldCharType="begin"/>
                    </w:r>
                    <w:r>
                      <w:rPr>
                        <w:rFonts w:hint="eastAsia" w:ascii="仿宋_GB2312" w:hAnsi="仿宋_GB2312" w:eastAsia="仿宋_GB2312" w:cs="仿宋_GB2312"/>
                        <w:sz w:val="22"/>
                        <w:szCs w:val="32"/>
                      </w:rPr>
                      <w:instrText xml:space="preserve"> PAGE  \* MERGEFORMAT </w:instrText>
                    </w:r>
                    <w:r>
                      <w:rPr>
                        <w:rFonts w:hint="eastAsia" w:ascii="仿宋_GB2312" w:hAnsi="仿宋_GB2312" w:eastAsia="仿宋_GB2312" w:cs="仿宋_GB2312"/>
                        <w:sz w:val="22"/>
                        <w:szCs w:val="32"/>
                      </w:rPr>
                      <w:fldChar w:fldCharType="separate"/>
                    </w:r>
                    <w:r>
                      <w:rPr>
                        <w:rFonts w:ascii="仿宋_GB2312" w:hAnsi="仿宋_GB2312" w:eastAsia="仿宋_GB2312" w:cs="仿宋_GB2312"/>
                        <w:sz w:val="22"/>
                        <w:szCs w:val="32"/>
                      </w:rPr>
                      <w:t>- 27 -</w:t>
                    </w:r>
                    <w:r>
                      <w:rPr>
                        <w:rFonts w:hint="eastAsia" w:ascii="仿宋_GB2312" w:hAnsi="仿宋_GB2312" w:eastAsia="仿宋_GB2312" w:cs="仿宋_GB2312"/>
                        <w:sz w:val="2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B0616"/>
    <w:rsid w:val="67FB01B8"/>
    <w:rsid w:val="6FFEAF10"/>
    <w:rsid w:val="7FAB87DD"/>
    <w:rsid w:val="BF7B0616"/>
    <w:rsid w:val="CDC7203E"/>
    <w:rsid w:val="FAEB9A10"/>
    <w:rsid w:val="FF3EB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b/>
      <w:bCs/>
      <w:kern w:val="0"/>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签发人"/>
    <w:basedOn w:val="1"/>
    <w:qFormat/>
    <w:uiPriority w:val="0"/>
    <w:rPr>
      <w:rFonts w:eastAsia="楷体"/>
      <w:kern w:val="0"/>
      <w:sz w:val="32"/>
    </w:rPr>
  </w:style>
  <w:style w:type="paragraph" w:styleId="4">
    <w:name w:val="footer"/>
    <w:basedOn w:val="1"/>
    <w:unhideWhenUsed/>
    <w:qFormat/>
    <w:uiPriority w:val="99"/>
    <w:pPr>
      <w:tabs>
        <w:tab w:val="center" w:pos="4153"/>
        <w:tab w:val="right" w:pos="8306"/>
      </w:tabs>
      <w:snapToGrid w:val="0"/>
      <w:jc w:val="left"/>
    </w:pPr>
    <w:rPr>
      <w:sz w:val="18"/>
    </w:rPr>
  </w:style>
  <w:style w:type="paragraph" w:customStyle="1" w:styleId="7">
    <w:name w:val="Table Text"/>
    <w:basedOn w:val="1"/>
    <w:semiHidden/>
    <w:qFormat/>
    <w:uiPriority w:val="0"/>
    <w:rPr>
      <w:rFonts w:ascii="宋体" w:hAnsi="宋体" w:cs="宋体"/>
      <w:sz w:val="25"/>
      <w:szCs w:val="25"/>
      <w:lang w:eastAsia="en-US"/>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2025-11-13T16:28:00Z</dcterms:created>
  <dc:creator>baixin</dc:creator>
  <cp:lastModifiedBy>baixin</cp:lastModifiedBy>
  <dcterms:modified xsi:type="dcterms:W3CDTF">2025-11-13T16:33:26Z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CFBF6F3FB6A3172698961569ACB2A887</vt:lpwstr>
  </property>
</Properties>
</file>